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83E" w:rsidRPr="00210024" w:rsidRDefault="008D344E" w:rsidP="007A7FF4">
      <w:pPr>
        <w:spacing w:after="0"/>
        <w:jc w:val="center"/>
        <w:rPr>
          <w:rFonts w:ascii="Times New Roman" w:hAnsi="Times New Roman" w:cs="Times New Roman"/>
          <w:b/>
          <w:bCs/>
          <w:sz w:val="24"/>
          <w:szCs w:val="24"/>
        </w:rPr>
      </w:pPr>
      <w:r w:rsidRPr="00210024">
        <w:rPr>
          <w:rFonts w:ascii="Times New Roman" w:hAnsi="Times New Roman" w:cs="Times New Roman"/>
          <w:b/>
          <w:bCs/>
          <w:sz w:val="24"/>
          <w:szCs w:val="24"/>
        </w:rPr>
        <w:t xml:space="preserve">Economic performance </w:t>
      </w:r>
      <w:r w:rsidR="00BE42A3" w:rsidRPr="00210024">
        <w:rPr>
          <w:rFonts w:ascii="Times New Roman" w:hAnsi="Times New Roman" w:cs="Times New Roman"/>
          <w:b/>
          <w:bCs/>
          <w:sz w:val="24"/>
          <w:szCs w:val="24"/>
        </w:rPr>
        <w:t>in</w:t>
      </w:r>
      <w:r w:rsidRPr="00210024">
        <w:rPr>
          <w:rFonts w:ascii="Times New Roman" w:hAnsi="Times New Roman" w:cs="Times New Roman"/>
          <w:b/>
          <w:bCs/>
          <w:sz w:val="24"/>
          <w:szCs w:val="24"/>
        </w:rPr>
        <w:t xml:space="preserve"> 2011</w:t>
      </w:r>
    </w:p>
    <w:p w:rsidR="00F9483E" w:rsidRPr="00210024" w:rsidRDefault="008D344E" w:rsidP="007A7FF4">
      <w:pPr>
        <w:spacing w:after="0"/>
        <w:jc w:val="both"/>
        <w:rPr>
          <w:rFonts w:ascii="Times New Roman" w:hAnsi="Times New Roman" w:cs="Times New Roman"/>
          <w:b/>
          <w:bCs/>
          <w:sz w:val="24"/>
          <w:szCs w:val="24"/>
        </w:rPr>
      </w:pPr>
      <w:r w:rsidRPr="00210024">
        <w:rPr>
          <w:rFonts w:ascii="Times New Roman" w:hAnsi="Times New Roman" w:cs="Times New Roman"/>
          <w:b/>
          <w:bCs/>
          <w:sz w:val="24"/>
          <w:szCs w:val="24"/>
        </w:rPr>
        <w:br/>
        <w:t xml:space="preserve">1 </w:t>
      </w:r>
      <w:r w:rsidR="003B4325" w:rsidRPr="00210024">
        <w:rPr>
          <w:rFonts w:ascii="Times New Roman" w:hAnsi="Times New Roman" w:cs="Times New Roman"/>
          <w:b/>
          <w:bCs/>
          <w:sz w:val="24"/>
          <w:szCs w:val="24"/>
        </w:rPr>
        <w:t>–</w:t>
      </w:r>
      <w:r w:rsidRPr="00210024">
        <w:rPr>
          <w:rFonts w:ascii="Times New Roman" w:hAnsi="Times New Roman" w:cs="Times New Roman"/>
          <w:b/>
          <w:bCs/>
          <w:sz w:val="24"/>
          <w:szCs w:val="24"/>
        </w:rPr>
        <w:t xml:space="preserve"> </w:t>
      </w:r>
      <w:r w:rsidR="003B4325" w:rsidRPr="00210024">
        <w:rPr>
          <w:rFonts w:ascii="Times New Roman" w:hAnsi="Times New Roman" w:cs="Times New Roman"/>
          <w:b/>
          <w:bCs/>
          <w:sz w:val="24"/>
          <w:szCs w:val="24"/>
        </w:rPr>
        <w:t>Gross Domestic Product (GDP):</w:t>
      </w:r>
    </w:p>
    <w:p w:rsidR="00F9483E" w:rsidRPr="00210024" w:rsidRDefault="003B4325" w:rsidP="003A07FC">
      <w:pPr>
        <w:spacing w:after="0"/>
        <w:jc w:val="both"/>
        <w:rPr>
          <w:rFonts w:ascii="Times New Roman" w:hAnsi="Times New Roman" w:cs="Times New Roman"/>
          <w:sz w:val="24"/>
          <w:szCs w:val="24"/>
        </w:rPr>
      </w:pPr>
      <w:r w:rsidRPr="00210024">
        <w:rPr>
          <w:rFonts w:ascii="Times New Roman" w:hAnsi="Times New Roman" w:cs="Times New Roman"/>
          <w:sz w:val="24"/>
          <w:szCs w:val="24"/>
        </w:rPr>
        <w:t xml:space="preserve"> </w:t>
      </w:r>
      <w:r w:rsidRPr="00210024">
        <w:rPr>
          <w:rFonts w:ascii="Times New Roman" w:hAnsi="Times New Roman" w:cs="Times New Roman"/>
          <w:sz w:val="24"/>
          <w:szCs w:val="24"/>
        </w:rPr>
        <w:br/>
      </w:r>
      <w:r w:rsidRPr="00210024">
        <w:rPr>
          <w:rFonts w:ascii="Times New Roman" w:hAnsi="Times New Roman" w:cs="Times New Roman"/>
          <w:b/>
          <w:bCs/>
          <w:sz w:val="24"/>
          <w:szCs w:val="24"/>
        </w:rPr>
        <w:t>The Gross Domestic Product (GDP</w:t>
      </w:r>
      <w:r w:rsidR="0087757F" w:rsidRPr="00210024">
        <w:rPr>
          <w:rFonts w:ascii="Times New Roman" w:hAnsi="Times New Roman" w:cs="Times New Roman"/>
          <w:b/>
          <w:bCs/>
          <w:sz w:val="24"/>
          <w:szCs w:val="24"/>
        </w:rPr>
        <w:t>) in</w:t>
      </w:r>
      <w:r w:rsidRPr="00210024">
        <w:rPr>
          <w:rFonts w:ascii="Times New Roman" w:hAnsi="Times New Roman" w:cs="Times New Roman"/>
          <w:b/>
          <w:bCs/>
          <w:sz w:val="24"/>
          <w:szCs w:val="24"/>
        </w:rPr>
        <w:t xml:space="preserve"> the Palestinian </w:t>
      </w:r>
      <w:r w:rsidR="002C7C30">
        <w:rPr>
          <w:rFonts w:ascii="Times New Roman" w:hAnsi="Times New Roman" w:cs="Times New Roman"/>
          <w:b/>
          <w:bCs/>
          <w:sz w:val="24"/>
          <w:szCs w:val="24"/>
        </w:rPr>
        <w:t>Territory</w:t>
      </w:r>
      <w:r w:rsidRPr="00210024">
        <w:rPr>
          <w:rFonts w:ascii="Times New Roman" w:hAnsi="Times New Roman" w:cs="Times New Roman"/>
          <w:b/>
          <w:bCs/>
          <w:sz w:val="24"/>
          <w:szCs w:val="24"/>
        </w:rPr>
        <w:t xml:space="preserve"> has witnessed</w:t>
      </w:r>
      <w:r w:rsidR="008D344E" w:rsidRPr="00210024">
        <w:rPr>
          <w:rFonts w:ascii="Times New Roman" w:hAnsi="Times New Roman" w:cs="Times New Roman"/>
          <w:b/>
          <w:bCs/>
          <w:sz w:val="24"/>
          <w:szCs w:val="24"/>
        </w:rPr>
        <w:t xml:space="preserve"> </w:t>
      </w:r>
      <w:r w:rsidRPr="00210024">
        <w:rPr>
          <w:rFonts w:ascii="Times New Roman" w:hAnsi="Times New Roman" w:cs="Times New Roman"/>
          <w:b/>
          <w:bCs/>
          <w:sz w:val="24"/>
          <w:szCs w:val="24"/>
        </w:rPr>
        <w:t xml:space="preserve">a </w:t>
      </w:r>
      <w:r w:rsidR="008D344E" w:rsidRPr="00210024">
        <w:rPr>
          <w:rFonts w:ascii="Times New Roman" w:hAnsi="Times New Roman" w:cs="Times New Roman"/>
          <w:b/>
          <w:bCs/>
          <w:sz w:val="24"/>
          <w:szCs w:val="24"/>
        </w:rPr>
        <w:t xml:space="preserve">remarkable growth </w:t>
      </w:r>
      <w:r w:rsidR="0087757F" w:rsidRPr="00210024">
        <w:rPr>
          <w:rFonts w:ascii="Times New Roman" w:hAnsi="Times New Roman" w:cs="Times New Roman"/>
          <w:b/>
          <w:bCs/>
          <w:sz w:val="24"/>
          <w:szCs w:val="24"/>
        </w:rPr>
        <w:t xml:space="preserve">during the year of </w:t>
      </w:r>
      <w:r w:rsidR="008D344E" w:rsidRPr="00210024">
        <w:rPr>
          <w:rFonts w:ascii="Times New Roman" w:hAnsi="Times New Roman" w:cs="Times New Roman"/>
          <w:b/>
          <w:bCs/>
          <w:sz w:val="24"/>
          <w:szCs w:val="24"/>
        </w:rPr>
        <w:t>2011 amounted to 9.9%.</w:t>
      </w:r>
      <w:r w:rsidR="008D344E" w:rsidRPr="00210024">
        <w:rPr>
          <w:rFonts w:ascii="Times New Roman" w:hAnsi="Times New Roman" w:cs="Times New Roman"/>
          <w:sz w:val="24"/>
          <w:szCs w:val="24"/>
        </w:rPr>
        <w:t>The Palestinian economy has witnessed significant volatility over the past years, especially</w:t>
      </w:r>
      <w:r w:rsidR="0087757F" w:rsidRPr="00210024">
        <w:rPr>
          <w:rFonts w:ascii="Times New Roman" w:hAnsi="Times New Roman" w:cs="Times New Roman"/>
          <w:sz w:val="24"/>
          <w:szCs w:val="24"/>
        </w:rPr>
        <w:t xml:space="preserve"> during</w:t>
      </w:r>
      <w:r w:rsidR="008D344E" w:rsidRPr="00210024">
        <w:rPr>
          <w:rFonts w:ascii="Times New Roman" w:hAnsi="Times New Roman" w:cs="Times New Roman"/>
          <w:sz w:val="24"/>
          <w:szCs w:val="24"/>
        </w:rPr>
        <w:t xml:space="preserve"> the period </w:t>
      </w:r>
      <w:r w:rsidR="00966506" w:rsidRPr="00210024">
        <w:rPr>
          <w:rFonts w:ascii="Times New Roman" w:hAnsi="Times New Roman" w:cs="Times New Roman"/>
          <w:sz w:val="24"/>
          <w:szCs w:val="24"/>
        </w:rPr>
        <w:t xml:space="preserve">of </w:t>
      </w:r>
      <w:r w:rsidR="008D344E" w:rsidRPr="00210024">
        <w:rPr>
          <w:rFonts w:ascii="Times New Roman" w:hAnsi="Times New Roman" w:cs="Times New Roman"/>
          <w:sz w:val="24"/>
          <w:szCs w:val="24"/>
        </w:rPr>
        <w:t xml:space="preserve">the </w:t>
      </w:r>
      <w:r w:rsidR="0087757F" w:rsidRPr="00210024">
        <w:rPr>
          <w:rFonts w:ascii="Times New Roman" w:hAnsi="Times New Roman" w:cs="Times New Roman"/>
          <w:sz w:val="24"/>
          <w:szCs w:val="24"/>
        </w:rPr>
        <w:t xml:space="preserve">eruption of </w:t>
      </w:r>
      <w:r w:rsidR="008D344E" w:rsidRPr="00210024">
        <w:rPr>
          <w:rFonts w:ascii="Times New Roman" w:hAnsi="Times New Roman" w:cs="Times New Roman"/>
          <w:sz w:val="24"/>
          <w:szCs w:val="24"/>
        </w:rPr>
        <w:t xml:space="preserve">second intifada, the economy declined during the years </w:t>
      </w:r>
      <w:r w:rsidR="00966506" w:rsidRPr="00210024">
        <w:rPr>
          <w:rFonts w:ascii="Times New Roman" w:hAnsi="Times New Roman" w:cs="Times New Roman"/>
          <w:sz w:val="24"/>
          <w:szCs w:val="24"/>
        </w:rPr>
        <w:t xml:space="preserve">of </w:t>
      </w:r>
      <w:r w:rsidR="008D344E" w:rsidRPr="00210024">
        <w:rPr>
          <w:rFonts w:ascii="Times New Roman" w:hAnsi="Times New Roman" w:cs="Times New Roman"/>
          <w:sz w:val="24"/>
          <w:szCs w:val="24"/>
        </w:rPr>
        <w:t>2000-2002, and began to recover in the period</w:t>
      </w:r>
      <w:r w:rsidR="00966506" w:rsidRPr="00210024">
        <w:rPr>
          <w:rFonts w:ascii="Times New Roman" w:hAnsi="Times New Roman" w:cs="Times New Roman"/>
          <w:sz w:val="24"/>
          <w:szCs w:val="24"/>
        </w:rPr>
        <w:t xml:space="preserve"> of</w:t>
      </w:r>
      <w:r w:rsidR="008D344E" w:rsidRPr="00210024">
        <w:rPr>
          <w:rFonts w:ascii="Times New Roman" w:hAnsi="Times New Roman" w:cs="Times New Roman"/>
          <w:sz w:val="24"/>
          <w:szCs w:val="24"/>
        </w:rPr>
        <w:t xml:space="preserve"> 2003-2005 before </w:t>
      </w:r>
      <w:r w:rsidR="00966506" w:rsidRPr="00210024">
        <w:rPr>
          <w:rFonts w:ascii="Times New Roman" w:hAnsi="Times New Roman" w:cs="Times New Roman"/>
          <w:sz w:val="24"/>
          <w:szCs w:val="24"/>
        </w:rPr>
        <w:t>diminishing</w:t>
      </w:r>
      <w:r w:rsidR="008D344E" w:rsidRPr="00210024">
        <w:rPr>
          <w:rFonts w:ascii="Times New Roman" w:hAnsi="Times New Roman" w:cs="Times New Roman"/>
          <w:sz w:val="24"/>
          <w:szCs w:val="24"/>
        </w:rPr>
        <w:t xml:space="preserve"> again in 2006 because of the </w:t>
      </w:r>
      <w:r w:rsidR="00966506" w:rsidRPr="00210024">
        <w:rPr>
          <w:rFonts w:ascii="Times New Roman" w:hAnsi="Times New Roman" w:cs="Times New Roman"/>
          <w:sz w:val="24"/>
          <w:szCs w:val="24"/>
        </w:rPr>
        <w:t>prevailing political situation and split between West Bank and Gaza Strip during that period which led for stopping</w:t>
      </w:r>
      <w:r w:rsidR="008D344E" w:rsidRPr="00210024">
        <w:rPr>
          <w:rFonts w:ascii="Times New Roman" w:hAnsi="Times New Roman" w:cs="Times New Roman"/>
          <w:sz w:val="24"/>
          <w:szCs w:val="24"/>
        </w:rPr>
        <w:t xml:space="preserve"> </w:t>
      </w:r>
      <w:r w:rsidR="00966506" w:rsidRPr="00210024">
        <w:rPr>
          <w:rFonts w:ascii="Times New Roman" w:hAnsi="Times New Roman" w:cs="Times New Roman"/>
          <w:sz w:val="24"/>
          <w:szCs w:val="24"/>
        </w:rPr>
        <w:t>of paying civil servants</w:t>
      </w:r>
      <w:r w:rsidR="008D344E" w:rsidRPr="00210024">
        <w:rPr>
          <w:rFonts w:ascii="Times New Roman" w:hAnsi="Times New Roman" w:cs="Times New Roman"/>
          <w:sz w:val="24"/>
          <w:szCs w:val="24"/>
        </w:rPr>
        <w:t xml:space="preserve">' salaries totaling about 160 thousand </w:t>
      </w:r>
      <w:r w:rsidR="00966506" w:rsidRPr="00210024">
        <w:rPr>
          <w:rFonts w:ascii="Times New Roman" w:hAnsi="Times New Roman" w:cs="Times New Roman"/>
          <w:sz w:val="24"/>
          <w:szCs w:val="24"/>
        </w:rPr>
        <w:t>civil servants</w:t>
      </w:r>
      <w:r w:rsidR="008D344E" w:rsidRPr="00210024">
        <w:rPr>
          <w:rFonts w:ascii="Times New Roman" w:hAnsi="Times New Roman" w:cs="Times New Roman"/>
          <w:sz w:val="24"/>
          <w:szCs w:val="24"/>
        </w:rPr>
        <w:t>. The Palest</w:t>
      </w:r>
      <w:r w:rsidR="00966506" w:rsidRPr="00210024">
        <w:rPr>
          <w:rFonts w:ascii="Times New Roman" w:hAnsi="Times New Roman" w:cs="Times New Roman"/>
          <w:sz w:val="24"/>
          <w:szCs w:val="24"/>
        </w:rPr>
        <w:t>inian economy began to recover for a</w:t>
      </w:r>
      <w:r w:rsidR="00A10DF1" w:rsidRPr="00210024">
        <w:rPr>
          <w:rFonts w:ascii="Times New Roman" w:hAnsi="Times New Roman" w:cs="Times New Roman"/>
          <w:sz w:val="24"/>
          <w:szCs w:val="24"/>
        </w:rPr>
        <w:t xml:space="preserve"> second time beginning in 2007</w:t>
      </w:r>
      <w:r w:rsidR="008D344E" w:rsidRPr="00210024">
        <w:rPr>
          <w:rFonts w:ascii="Times New Roman" w:hAnsi="Times New Roman" w:cs="Times New Roman"/>
          <w:sz w:val="24"/>
          <w:szCs w:val="24"/>
        </w:rPr>
        <w:t xml:space="preserve"> </w:t>
      </w:r>
      <w:r w:rsidR="00A10DF1" w:rsidRPr="00210024">
        <w:rPr>
          <w:rFonts w:ascii="Times New Roman" w:hAnsi="Times New Roman" w:cs="Times New Roman"/>
          <w:sz w:val="24"/>
          <w:szCs w:val="24"/>
        </w:rPr>
        <w:t>with</w:t>
      </w:r>
      <w:r w:rsidR="008D344E" w:rsidRPr="00210024">
        <w:rPr>
          <w:rFonts w:ascii="Times New Roman" w:hAnsi="Times New Roman" w:cs="Times New Roman"/>
          <w:sz w:val="24"/>
          <w:szCs w:val="24"/>
        </w:rPr>
        <w:t xml:space="preserve"> a growth </w:t>
      </w:r>
      <w:r w:rsidR="009B493F" w:rsidRPr="00210024">
        <w:rPr>
          <w:rFonts w:ascii="Times New Roman" w:hAnsi="Times New Roman" w:cs="Times New Roman"/>
          <w:sz w:val="24"/>
          <w:szCs w:val="24"/>
        </w:rPr>
        <w:t xml:space="preserve">rate </w:t>
      </w:r>
      <w:r w:rsidR="00A10DF1" w:rsidRPr="00210024">
        <w:rPr>
          <w:rFonts w:ascii="Times New Roman" w:hAnsi="Times New Roman" w:cs="Times New Roman"/>
          <w:sz w:val="24"/>
          <w:szCs w:val="24"/>
        </w:rPr>
        <w:t>increased till</w:t>
      </w:r>
      <w:r w:rsidR="008D344E" w:rsidRPr="00210024">
        <w:rPr>
          <w:rFonts w:ascii="Times New Roman" w:hAnsi="Times New Roman" w:cs="Times New Roman"/>
          <w:sz w:val="24"/>
          <w:szCs w:val="24"/>
        </w:rPr>
        <w:t xml:space="preserve"> reached its peak in 2011 </w:t>
      </w:r>
      <w:r w:rsidR="00A10DF1" w:rsidRPr="00210024">
        <w:rPr>
          <w:rFonts w:ascii="Times New Roman" w:hAnsi="Times New Roman" w:cs="Times New Roman"/>
          <w:sz w:val="24"/>
          <w:szCs w:val="24"/>
        </w:rPr>
        <w:t>at</w:t>
      </w:r>
      <w:r w:rsidR="008D344E" w:rsidRPr="00210024">
        <w:rPr>
          <w:rFonts w:ascii="Times New Roman" w:hAnsi="Times New Roman" w:cs="Times New Roman"/>
          <w:sz w:val="24"/>
          <w:szCs w:val="24"/>
        </w:rPr>
        <w:t xml:space="preserve"> 9.9%.</w:t>
      </w:r>
    </w:p>
    <w:p w:rsidR="00A14BF2" w:rsidRPr="00210024" w:rsidRDefault="008B5A6E" w:rsidP="007A7FF4">
      <w:pPr>
        <w:spacing w:after="0"/>
        <w:jc w:val="both"/>
        <w:rPr>
          <w:rFonts w:ascii="Times New Roman" w:hAnsi="Times New Roman" w:cs="Times New Roman"/>
          <w:sz w:val="24"/>
          <w:szCs w:val="24"/>
        </w:rPr>
      </w:pPr>
      <w:r w:rsidRPr="00210024">
        <w:rPr>
          <w:rFonts w:ascii="Times New Roman" w:hAnsi="Times New Roman" w:cs="Times New Roman"/>
          <w:sz w:val="24"/>
          <w:szCs w:val="24"/>
        </w:rPr>
        <w:br/>
      </w:r>
      <w:r w:rsidRPr="00210024">
        <w:rPr>
          <w:rFonts w:ascii="Times New Roman" w:hAnsi="Times New Roman" w:cs="Times New Roman"/>
          <w:b/>
          <w:bCs/>
          <w:sz w:val="24"/>
          <w:szCs w:val="24"/>
        </w:rPr>
        <w:t xml:space="preserve">The high growth in the Palestinian </w:t>
      </w:r>
      <w:r w:rsidR="002C7C30">
        <w:rPr>
          <w:rFonts w:ascii="Times New Roman" w:hAnsi="Times New Roman" w:cs="Times New Roman"/>
          <w:b/>
          <w:bCs/>
          <w:sz w:val="24"/>
          <w:szCs w:val="24"/>
        </w:rPr>
        <w:t>Territory</w:t>
      </w:r>
      <w:r w:rsidRPr="00210024">
        <w:rPr>
          <w:rFonts w:ascii="Times New Roman" w:hAnsi="Times New Roman" w:cs="Times New Roman"/>
          <w:b/>
          <w:bCs/>
          <w:sz w:val="24"/>
          <w:szCs w:val="24"/>
        </w:rPr>
        <w:t xml:space="preserve"> </w:t>
      </w:r>
      <w:r w:rsidR="00F50CD9" w:rsidRPr="00210024">
        <w:rPr>
          <w:rFonts w:ascii="Times New Roman" w:hAnsi="Times New Roman" w:cs="Times New Roman"/>
          <w:b/>
          <w:bCs/>
          <w:sz w:val="24"/>
          <w:szCs w:val="24"/>
        </w:rPr>
        <w:t xml:space="preserve">during the year of 2011 </w:t>
      </w:r>
      <w:r w:rsidR="009B493F" w:rsidRPr="00210024">
        <w:rPr>
          <w:rFonts w:ascii="Times New Roman" w:hAnsi="Times New Roman" w:cs="Times New Roman"/>
          <w:b/>
          <w:bCs/>
          <w:sz w:val="24"/>
          <w:szCs w:val="24"/>
        </w:rPr>
        <w:t xml:space="preserve">is </w:t>
      </w:r>
      <w:r w:rsidR="008D344E" w:rsidRPr="00210024">
        <w:rPr>
          <w:rFonts w:ascii="Times New Roman" w:hAnsi="Times New Roman" w:cs="Times New Roman"/>
          <w:b/>
          <w:bCs/>
          <w:sz w:val="24"/>
          <w:szCs w:val="24"/>
        </w:rPr>
        <w:t xml:space="preserve">attributed </w:t>
      </w:r>
      <w:r w:rsidR="00F50CD9" w:rsidRPr="00210024">
        <w:rPr>
          <w:rFonts w:ascii="Times New Roman" w:hAnsi="Times New Roman" w:cs="Times New Roman"/>
          <w:b/>
          <w:bCs/>
          <w:sz w:val="24"/>
          <w:szCs w:val="24"/>
        </w:rPr>
        <w:t>to</w:t>
      </w:r>
      <w:r w:rsidR="008D344E" w:rsidRPr="00210024">
        <w:rPr>
          <w:rFonts w:ascii="Times New Roman" w:hAnsi="Times New Roman" w:cs="Times New Roman"/>
          <w:b/>
          <w:bCs/>
          <w:sz w:val="24"/>
          <w:szCs w:val="24"/>
        </w:rPr>
        <w:t xml:space="preserve"> high growth</w:t>
      </w:r>
      <w:r w:rsidR="009B493F" w:rsidRPr="00210024">
        <w:rPr>
          <w:rFonts w:ascii="Times New Roman" w:hAnsi="Times New Roman" w:cs="Times New Roman"/>
          <w:b/>
          <w:bCs/>
          <w:sz w:val="24"/>
          <w:szCs w:val="24"/>
        </w:rPr>
        <w:t xml:space="preserve"> rate in</w:t>
      </w:r>
      <w:r w:rsidR="008D344E" w:rsidRPr="00210024">
        <w:rPr>
          <w:rFonts w:ascii="Times New Roman" w:hAnsi="Times New Roman" w:cs="Times New Roman"/>
          <w:b/>
          <w:bCs/>
          <w:sz w:val="24"/>
          <w:szCs w:val="24"/>
        </w:rPr>
        <w:t xml:space="preserve"> Gaza Strip,</w:t>
      </w:r>
      <w:r w:rsidR="008D344E" w:rsidRPr="00210024">
        <w:rPr>
          <w:rFonts w:ascii="Times New Roman" w:hAnsi="Times New Roman" w:cs="Times New Roman"/>
          <w:sz w:val="24"/>
          <w:szCs w:val="24"/>
        </w:rPr>
        <w:t xml:space="preserve"> which reached</w:t>
      </w:r>
      <w:r w:rsidR="00F50CD9" w:rsidRPr="00210024">
        <w:rPr>
          <w:rFonts w:ascii="Times New Roman" w:hAnsi="Times New Roman" w:cs="Times New Roman"/>
          <w:sz w:val="24"/>
          <w:szCs w:val="24"/>
        </w:rPr>
        <w:t xml:space="preserve"> 23.0% compared with 5.2% in</w:t>
      </w:r>
      <w:r w:rsidR="008D344E" w:rsidRPr="00210024">
        <w:rPr>
          <w:rFonts w:ascii="Times New Roman" w:hAnsi="Times New Roman" w:cs="Times New Roman"/>
          <w:sz w:val="24"/>
          <w:szCs w:val="24"/>
        </w:rPr>
        <w:t xml:space="preserve"> West Bank.</w:t>
      </w:r>
      <w:r w:rsidR="00F50CD9" w:rsidRPr="00210024">
        <w:rPr>
          <w:rFonts w:ascii="Times New Roman" w:hAnsi="Times New Roman" w:cs="Times New Roman"/>
          <w:sz w:val="24"/>
          <w:szCs w:val="24"/>
        </w:rPr>
        <w:t xml:space="preserve"> </w:t>
      </w:r>
      <w:r w:rsidR="008D344E" w:rsidRPr="00210024">
        <w:rPr>
          <w:rFonts w:ascii="Times New Roman" w:hAnsi="Times New Roman" w:cs="Times New Roman"/>
          <w:sz w:val="24"/>
          <w:szCs w:val="24"/>
        </w:rPr>
        <w:t xml:space="preserve"> </w:t>
      </w:r>
      <w:r w:rsidR="00F50CD9" w:rsidRPr="00210024">
        <w:rPr>
          <w:rFonts w:ascii="Times New Roman" w:hAnsi="Times New Roman" w:cs="Times New Roman"/>
          <w:sz w:val="24"/>
          <w:szCs w:val="24"/>
        </w:rPr>
        <w:t xml:space="preserve">This high growth in </w:t>
      </w:r>
      <w:r w:rsidR="008D344E" w:rsidRPr="00210024">
        <w:rPr>
          <w:rFonts w:ascii="Times New Roman" w:hAnsi="Times New Roman" w:cs="Times New Roman"/>
          <w:sz w:val="24"/>
          <w:szCs w:val="24"/>
        </w:rPr>
        <w:t xml:space="preserve">Gaza Strip during the years </w:t>
      </w:r>
      <w:r w:rsidR="00F50CD9" w:rsidRPr="00210024">
        <w:rPr>
          <w:rFonts w:ascii="Times New Roman" w:hAnsi="Times New Roman" w:cs="Times New Roman"/>
          <w:sz w:val="24"/>
          <w:szCs w:val="24"/>
        </w:rPr>
        <w:t xml:space="preserve">of </w:t>
      </w:r>
      <w:r w:rsidR="008D344E" w:rsidRPr="00210024">
        <w:rPr>
          <w:rFonts w:ascii="Times New Roman" w:hAnsi="Times New Roman" w:cs="Times New Roman"/>
          <w:sz w:val="24"/>
          <w:szCs w:val="24"/>
        </w:rPr>
        <w:t xml:space="preserve">2010-2011 </w:t>
      </w:r>
      <w:r w:rsidR="00F50CD9" w:rsidRPr="00210024">
        <w:rPr>
          <w:rFonts w:ascii="Times New Roman" w:hAnsi="Times New Roman" w:cs="Times New Roman"/>
          <w:sz w:val="24"/>
          <w:szCs w:val="24"/>
        </w:rPr>
        <w:t xml:space="preserve">is </w:t>
      </w:r>
      <w:r w:rsidR="008D344E" w:rsidRPr="00210024">
        <w:rPr>
          <w:rFonts w:ascii="Times New Roman" w:hAnsi="Times New Roman" w:cs="Times New Roman"/>
          <w:sz w:val="24"/>
          <w:szCs w:val="24"/>
        </w:rPr>
        <w:t xml:space="preserve">due to a </w:t>
      </w:r>
      <w:r w:rsidR="00F50CD9" w:rsidRPr="00210024">
        <w:rPr>
          <w:rFonts w:ascii="Times New Roman" w:hAnsi="Times New Roman" w:cs="Times New Roman"/>
          <w:sz w:val="24"/>
          <w:szCs w:val="24"/>
        </w:rPr>
        <w:t>combined set of factors, including</w:t>
      </w:r>
      <w:r w:rsidR="008D344E" w:rsidRPr="00210024">
        <w:rPr>
          <w:rFonts w:ascii="Times New Roman" w:hAnsi="Times New Roman" w:cs="Times New Roman"/>
          <w:sz w:val="24"/>
          <w:szCs w:val="24"/>
        </w:rPr>
        <w:t xml:space="preserve"> construction boom </w:t>
      </w:r>
      <w:r w:rsidR="00F50CD9" w:rsidRPr="00210024">
        <w:rPr>
          <w:rFonts w:ascii="Times New Roman" w:hAnsi="Times New Roman" w:cs="Times New Roman"/>
          <w:sz w:val="24"/>
          <w:szCs w:val="24"/>
        </w:rPr>
        <w:t>supported</w:t>
      </w:r>
      <w:r w:rsidR="008D344E" w:rsidRPr="00210024">
        <w:rPr>
          <w:rFonts w:ascii="Times New Roman" w:hAnsi="Times New Roman" w:cs="Times New Roman"/>
          <w:sz w:val="24"/>
          <w:szCs w:val="24"/>
        </w:rPr>
        <w:t xml:space="preserve"> mostly of </w:t>
      </w:r>
      <w:r w:rsidR="00F50CD9" w:rsidRPr="00210024">
        <w:rPr>
          <w:rFonts w:ascii="Times New Roman" w:hAnsi="Times New Roman" w:cs="Times New Roman"/>
          <w:sz w:val="24"/>
          <w:szCs w:val="24"/>
        </w:rPr>
        <w:t>foreign aid, easing</w:t>
      </w:r>
      <w:r w:rsidR="008D344E" w:rsidRPr="00210024">
        <w:rPr>
          <w:rFonts w:ascii="Times New Roman" w:hAnsi="Times New Roman" w:cs="Times New Roman"/>
          <w:sz w:val="24"/>
          <w:szCs w:val="24"/>
        </w:rPr>
        <w:t xml:space="preserve"> of </w:t>
      </w:r>
      <w:r w:rsidR="00F50CD9" w:rsidRPr="00210024">
        <w:rPr>
          <w:rFonts w:ascii="Times New Roman" w:hAnsi="Times New Roman" w:cs="Times New Roman"/>
          <w:sz w:val="24"/>
          <w:szCs w:val="24"/>
        </w:rPr>
        <w:t>Israeli imposed restrictions</w:t>
      </w:r>
      <w:r w:rsidR="008D344E" w:rsidRPr="00210024">
        <w:rPr>
          <w:rFonts w:ascii="Times New Roman" w:hAnsi="Times New Roman" w:cs="Times New Roman"/>
          <w:sz w:val="24"/>
          <w:szCs w:val="24"/>
        </w:rPr>
        <w:t xml:space="preserve"> on the entry of some raw materials and some building materials to </w:t>
      </w:r>
      <w:r w:rsidR="00F50CD9" w:rsidRPr="00210024">
        <w:rPr>
          <w:rFonts w:ascii="Times New Roman" w:hAnsi="Times New Roman" w:cs="Times New Roman"/>
          <w:sz w:val="24"/>
          <w:szCs w:val="24"/>
        </w:rPr>
        <w:t>Gaza Strip</w:t>
      </w:r>
      <w:r w:rsidR="008D344E" w:rsidRPr="00210024">
        <w:rPr>
          <w:rFonts w:ascii="Times New Roman" w:hAnsi="Times New Roman" w:cs="Times New Roman"/>
          <w:sz w:val="24"/>
          <w:szCs w:val="24"/>
        </w:rPr>
        <w:t xml:space="preserve"> and increased trade through </w:t>
      </w:r>
      <w:r w:rsidR="00E635C6" w:rsidRPr="00210024">
        <w:rPr>
          <w:rFonts w:ascii="Times New Roman" w:hAnsi="Times New Roman" w:cs="Times New Roman"/>
          <w:sz w:val="24"/>
          <w:szCs w:val="24"/>
        </w:rPr>
        <w:t xml:space="preserve">underground </w:t>
      </w:r>
      <w:r w:rsidR="008D344E" w:rsidRPr="00210024">
        <w:rPr>
          <w:rFonts w:ascii="Times New Roman" w:hAnsi="Times New Roman" w:cs="Times New Roman"/>
          <w:sz w:val="24"/>
          <w:szCs w:val="24"/>
        </w:rPr>
        <w:t xml:space="preserve">tunnels with </w:t>
      </w:r>
      <w:r w:rsidRPr="00210024">
        <w:rPr>
          <w:rFonts w:ascii="Times New Roman" w:hAnsi="Times New Roman" w:cs="Times New Roman"/>
          <w:sz w:val="24"/>
          <w:szCs w:val="24"/>
        </w:rPr>
        <w:t xml:space="preserve">Egypt. </w:t>
      </w:r>
      <w:r w:rsidR="008D344E" w:rsidRPr="00210024">
        <w:rPr>
          <w:rFonts w:ascii="Times New Roman" w:hAnsi="Times New Roman" w:cs="Times New Roman"/>
          <w:sz w:val="24"/>
          <w:szCs w:val="24"/>
        </w:rPr>
        <w:t>In partic</w:t>
      </w:r>
      <w:r w:rsidR="00CB6ACA" w:rsidRPr="00210024">
        <w:rPr>
          <w:rFonts w:ascii="Times New Roman" w:hAnsi="Times New Roman" w:cs="Times New Roman"/>
          <w:sz w:val="24"/>
          <w:szCs w:val="24"/>
        </w:rPr>
        <w:t xml:space="preserve">ular, growth rates in Gaza Strip appear high </w:t>
      </w:r>
      <w:r w:rsidR="008D344E" w:rsidRPr="00210024">
        <w:rPr>
          <w:rFonts w:ascii="Times New Roman" w:hAnsi="Times New Roman" w:cs="Times New Roman"/>
          <w:sz w:val="24"/>
          <w:szCs w:val="24"/>
        </w:rPr>
        <w:t xml:space="preserve">during the year </w:t>
      </w:r>
      <w:r w:rsidR="00CB6ACA" w:rsidRPr="00210024">
        <w:rPr>
          <w:rFonts w:ascii="Times New Roman" w:hAnsi="Times New Roman" w:cs="Times New Roman"/>
          <w:sz w:val="24"/>
          <w:szCs w:val="24"/>
        </w:rPr>
        <w:t xml:space="preserve">of </w:t>
      </w:r>
      <w:r w:rsidR="008D344E" w:rsidRPr="00210024">
        <w:rPr>
          <w:rFonts w:ascii="Times New Roman" w:hAnsi="Times New Roman" w:cs="Times New Roman"/>
          <w:sz w:val="24"/>
          <w:szCs w:val="24"/>
        </w:rPr>
        <w:t xml:space="preserve">2011 and the year before as a result </w:t>
      </w:r>
      <w:r w:rsidR="00CB6ACA" w:rsidRPr="00210024">
        <w:rPr>
          <w:rFonts w:ascii="Times New Roman" w:hAnsi="Times New Roman" w:cs="Times New Roman"/>
          <w:sz w:val="24"/>
          <w:szCs w:val="24"/>
        </w:rPr>
        <w:t xml:space="preserve">of </w:t>
      </w:r>
      <w:r w:rsidR="008D344E" w:rsidRPr="00210024">
        <w:rPr>
          <w:rFonts w:ascii="Times New Roman" w:hAnsi="Times New Roman" w:cs="Times New Roman"/>
          <w:sz w:val="24"/>
          <w:szCs w:val="24"/>
        </w:rPr>
        <w:t>compar</w:t>
      </w:r>
      <w:r w:rsidR="00CB6ACA" w:rsidRPr="00210024">
        <w:rPr>
          <w:rFonts w:ascii="Times New Roman" w:hAnsi="Times New Roman" w:cs="Times New Roman"/>
          <w:sz w:val="24"/>
          <w:szCs w:val="24"/>
        </w:rPr>
        <w:t>ison</w:t>
      </w:r>
      <w:r w:rsidR="008D344E" w:rsidRPr="00210024">
        <w:rPr>
          <w:rFonts w:ascii="Times New Roman" w:hAnsi="Times New Roman" w:cs="Times New Roman"/>
          <w:sz w:val="24"/>
          <w:szCs w:val="24"/>
        </w:rPr>
        <w:t xml:space="preserve"> with previous years </w:t>
      </w:r>
      <w:r w:rsidR="00CB6ACA" w:rsidRPr="00210024">
        <w:rPr>
          <w:rFonts w:ascii="Times New Roman" w:hAnsi="Times New Roman" w:cs="Times New Roman"/>
          <w:sz w:val="24"/>
          <w:szCs w:val="24"/>
        </w:rPr>
        <w:t>that</w:t>
      </w:r>
      <w:r w:rsidR="008D344E" w:rsidRPr="00210024">
        <w:rPr>
          <w:rFonts w:ascii="Times New Roman" w:hAnsi="Times New Roman" w:cs="Times New Roman"/>
          <w:sz w:val="24"/>
          <w:szCs w:val="24"/>
        </w:rPr>
        <w:t xml:space="preserve"> witnessed a significant deterio</w:t>
      </w:r>
      <w:r w:rsidR="00CB6ACA" w:rsidRPr="00210024">
        <w:rPr>
          <w:rFonts w:ascii="Times New Roman" w:hAnsi="Times New Roman" w:cs="Times New Roman"/>
          <w:sz w:val="24"/>
          <w:szCs w:val="24"/>
        </w:rPr>
        <w:t>ration</w:t>
      </w:r>
      <w:r w:rsidR="001E65A2" w:rsidRPr="00210024">
        <w:rPr>
          <w:rFonts w:ascii="Times New Roman" w:hAnsi="Times New Roman" w:cs="Times New Roman"/>
          <w:sz w:val="24"/>
          <w:szCs w:val="24"/>
        </w:rPr>
        <w:t xml:space="preserve"> and dilapidation</w:t>
      </w:r>
      <w:r w:rsidR="00CB6ACA" w:rsidRPr="00210024">
        <w:rPr>
          <w:rFonts w:ascii="Times New Roman" w:hAnsi="Times New Roman" w:cs="Times New Roman"/>
          <w:sz w:val="24"/>
          <w:szCs w:val="24"/>
        </w:rPr>
        <w:t xml:space="preserve"> in the performance of Gaza Strip</w:t>
      </w:r>
      <w:r w:rsidR="001E65A2" w:rsidRPr="00210024">
        <w:rPr>
          <w:rFonts w:ascii="Times New Roman" w:hAnsi="Times New Roman" w:cs="Times New Roman"/>
          <w:sz w:val="24"/>
          <w:szCs w:val="24"/>
        </w:rPr>
        <w:t xml:space="preserve"> economy during </w:t>
      </w:r>
      <w:r w:rsidR="008D344E" w:rsidRPr="00210024">
        <w:rPr>
          <w:rFonts w:ascii="Times New Roman" w:hAnsi="Times New Roman" w:cs="Times New Roman"/>
          <w:sz w:val="24"/>
          <w:szCs w:val="24"/>
        </w:rPr>
        <w:t>2006</w:t>
      </w:r>
      <w:r w:rsidR="001E65A2" w:rsidRPr="00210024">
        <w:rPr>
          <w:rFonts w:ascii="Times New Roman" w:hAnsi="Times New Roman" w:cs="Times New Roman"/>
          <w:sz w:val="24"/>
          <w:szCs w:val="24"/>
        </w:rPr>
        <w:t>-</w:t>
      </w:r>
      <w:r w:rsidR="008D344E" w:rsidRPr="00210024">
        <w:rPr>
          <w:rFonts w:ascii="Times New Roman" w:hAnsi="Times New Roman" w:cs="Times New Roman"/>
          <w:sz w:val="24"/>
          <w:szCs w:val="24"/>
        </w:rPr>
        <w:t xml:space="preserve">2009 because of Israeli aggression and </w:t>
      </w:r>
      <w:r w:rsidR="001E65A2" w:rsidRPr="00210024">
        <w:rPr>
          <w:rFonts w:ascii="Times New Roman" w:hAnsi="Times New Roman" w:cs="Times New Roman"/>
          <w:sz w:val="24"/>
          <w:szCs w:val="24"/>
        </w:rPr>
        <w:t xml:space="preserve">continued </w:t>
      </w:r>
      <w:r w:rsidR="00CB6ACA" w:rsidRPr="00210024">
        <w:rPr>
          <w:rFonts w:ascii="Times New Roman" w:hAnsi="Times New Roman" w:cs="Times New Roman"/>
          <w:sz w:val="24"/>
          <w:szCs w:val="24"/>
        </w:rPr>
        <w:t>imposed siege on Gaza</w:t>
      </w:r>
      <w:r w:rsidR="008D344E" w:rsidRPr="00210024">
        <w:rPr>
          <w:rFonts w:ascii="Times New Roman" w:hAnsi="Times New Roman" w:cs="Times New Roman"/>
          <w:sz w:val="24"/>
          <w:szCs w:val="24"/>
        </w:rPr>
        <w:t xml:space="preserve"> Strip.</w:t>
      </w:r>
    </w:p>
    <w:p w:rsidR="003134F1" w:rsidRPr="00210024" w:rsidRDefault="003134F1" w:rsidP="007A7FF4">
      <w:pPr>
        <w:spacing w:after="0"/>
        <w:jc w:val="both"/>
        <w:rPr>
          <w:rFonts w:ascii="Times New Roman" w:hAnsi="Times New Roman" w:cs="Times New Roman"/>
          <w:sz w:val="24"/>
          <w:szCs w:val="24"/>
        </w:rPr>
      </w:pPr>
    </w:p>
    <w:p w:rsidR="00A14BF2" w:rsidRPr="00210024" w:rsidRDefault="00846D5A" w:rsidP="00CA1079">
      <w:pPr>
        <w:spacing w:after="0"/>
        <w:jc w:val="both"/>
        <w:rPr>
          <w:rFonts w:ascii="Times New Roman" w:hAnsi="Times New Roman" w:cs="Times New Roman"/>
          <w:sz w:val="24"/>
          <w:szCs w:val="24"/>
        </w:rPr>
      </w:pPr>
      <w:r w:rsidRPr="00210024">
        <w:rPr>
          <w:rFonts w:ascii="Times New Roman" w:hAnsi="Times New Roman" w:cs="Times New Roman"/>
          <w:b/>
          <w:bCs/>
          <w:sz w:val="24"/>
          <w:szCs w:val="24"/>
        </w:rPr>
        <w:t>Despite a surge in growth rates in</w:t>
      </w:r>
      <w:r w:rsidR="008D344E" w:rsidRPr="00210024">
        <w:rPr>
          <w:rFonts w:ascii="Times New Roman" w:hAnsi="Times New Roman" w:cs="Times New Roman"/>
          <w:b/>
          <w:bCs/>
          <w:sz w:val="24"/>
          <w:szCs w:val="24"/>
        </w:rPr>
        <w:t xml:space="preserve"> Gaza Strip during the past two years, </w:t>
      </w:r>
      <w:r w:rsidRPr="00210024">
        <w:rPr>
          <w:rFonts w:ascii="Times New Roman" w:hAnsi="Times New Roman" w:cs="Times New Roman"/>
          <w:b/>
          <w:bCs/>
          <w:sz w:val="24"/>
          <w:szCs w:val="24"/>
        </w:rPr>
        <w:t>Gaza Strip</w:t>
      </w:r>
      <w:r w:rsidR="008D344E" w:rsidRPr="00210024">
        <w:rPr>
          <w:rFonts w:ascii="Times New Roman" w:hAnsi="Times New Roman" w:cs="Times New Roman"/>
          <w:b/>
          <w:bCs/>
          <w:sz w:val="24"/>
          <w:szCs w:val="24"/>
        </w:rPr>
        <w:t xml:space="preserve"> contribution to GDP has </w:t>
      </w:r>
      <w:r w:rsidRPr="00210024">
        <w:rPr>
          <w:rFonts w:ascii="Times New Roman" w:hAnsi="Times New Roman" w:cs="Times New Roman"/>
          <w:b/>
          <w:bCs/>
          <w:sz w:val="24"/>
          <w:szCs w:val="24"/>
        </w:rPr>
        <w:t xml:space="preserve">fallen to less than 30.0% of GDP in Palestinian </w:t>
      </w:r>
      <w:r w:rsidR="002C7C30">
        <w:rPr>
          <w:rFonts w:ascii="Times New Roman" w:hAnsi="Times New Roman" w:cs="Times New Roman"/>
          <w:b/>
          <w:bCs/>
          <w:sz w:val="24"/>
          <w:szCs w:val="24"/>
        </w:rPr>
        <w:t>Territory</w:t>
      </w:r>
      <w:r w:rsidR="008D344E" w:rsidRPr="00210024">
        <w:rPr>
          <w:rFonts w:ascii="Times New Roman" w:hAnsi="Times New Roman" w:cs="Times New Roman"/>
          <w:b/>
          <w:bCs/>
          <w:sz w:val="24"/>
          <w:szCs w:val="24"/>
        </w:rPr>
        <w:t xml:space="preserve"> in 2011</w:t>
      </w:r>
      <w:r w:rsidR="008D344E" w:rsidRPr="00210024">
        <w:rPr>
          <w:rFonts w:ascii="Times New Roman" w:hAnsi="Times New Roman" w:cs="Times New Roman"/>
          <w:sz w:val="24"/>
          <w:szCs w:val="24"/>
        </w:rPr>
        <w:t>.</w:t>
      </w:r>
      <w:r w:rsidR="00F9483E" w:rsidRPr="00210024">
        <w:rPr>
          <w:rFonts w:ascii="Times New Roman" w:hAnsi="Times New Roman" w:cs="Times New Roman"/>
          <w:sz w:val="24"/>
          <w:szCs w:val="24"/>
        </w:rPr>
        <w:t xml:space="preserve"> </w:t>
      </w:r>
      <w:r w:rsidR="008D344E" w:rsidRPr="00210024">
        <w:rPr>
          <w:rFonts w:ascii="Times New Roman" w:hAnsi="Times New Roman" w:cs="Times New Roman"/>
          <w:sz w:val="24"/>
          <w:szCs w:val="24"/>
        </w:rPr>
        <w:t>As</w:t>
      </w:r>
      <w:r w:rsidR="002F0072" w:rsidRPr="00210024">
        <w:rPr>
          <w:rFonts w:ascii="Times New Roman" w:hAnsi="Times New Roman" w:cs="Times New Roman"/>
          <w:sz w:val="24"/>
          <w:szCs w:val="24"/>
        </w:rPr>
        <w:t xml:space="preserve"> it is clear from Figure 1, GDP</w:t>
      </w:r>
      <w:r w:rsidR="008D344E" w:rsidRPr="00210024">
        <w:rPr>
          <w:rFonts w:ascii="Times New Roman" w:hAnsi="Times New Roman" w:cs="Times New Roman"/>
          <w:sz w:val="24"/>
          <w:szCs w:val="24"/>
        </w:rPr>
        <w:t xml:space="preserve"> </w:t>
      </w:r>
      <w:r w:rsidR="002F0072" w:rsidRPr="00210024">
        <w:rPr>
          <w:rFonts w:ascii="Times New Roman" w:hAnsi="Times New Roman" w:cs="Times New Roman"/>
          <w:sz w:val="24"/>
          <w:szCs w:val="24"/>
        </w:rPr>
        <w:t>in</w:t>
      </w:r>
      <w:r w:rsidR="008D344E" w:rsidRPr="00210024">
        <w:rPr>
          <w:rFonts w:ascii="Times New Roman" w:hAnsi="Times New Roman" w:cs="Times New Roman"/>
          <w:sz w:val="24"/>
          <w:szCs w:val="24"/>
        </w:rPr>
        <w:t xml:space="preserve"> Gaza Strip </w:t>
      </w:r>
      <w:r w:rsidR="002F0072" w:rsidRPr="00210024">
        <w:rPr>
          <w:rFonts w:ascii="Times New Roman" w:hAnsi="Times New Roman" w:cs="Times New Roman"/>
          <w:sz w:val="24"/>
          <w:szCs w:val="24"/>
        </w:rPr>
        <w:t xml:space="preserve">reached </w:t>
      </w:r>
      <w:r w:rsidR="008D344E" w:rsidRPr="00210024">
        <w:rPr>
          <w:rFonts w:ascii="Times New Roman" w:hAnsi="Times New Roman" w:cs="Times New Roman"/>
          <w:sz w:val="24"/>
          <w:szCs w:val="24"/>
        </w:rPr>
        <w:t xml:space="preserve">about </w:t>
      </w:r>
      <w:r w:rsidR="000E0C2C">
        <w:rPr>
          <w:rFonts w:ascii="Times New Roman" w:hAnsi="Times New Roman" w:cs="Times New Roman"/>
          <w:sz w:val="24"/>
          <w:szCs w:val="24"/>
        </w:rPr>
        <w:t>USD</w:t>
      </w:r>
      <w:r w:rsidR="008D344E" w:rsidRPr="00210024">
        <w:rPr>
          <w:rFonts w:ascii="Times New Roman" w:hAnsi="Times New Roman" w:cs="Times New Roman"/>
          <w:sz w:val="24"/>
          <w:szCs w:val="24"/>
        </w:rPr>
        <w:t xml:space="preserve"> 1.85 billion in</w:t>
      </w:r>
      <w:r w:rsidR="002F0072" w:rsidRPr="00210024">
        <w:rPr>
          <w:rFonts w:ascii="Times New Roman" w:hAnsi="Times New Roman" w:cs="Times New Roman"/>
          <w:sz w:val="24"/>
          <w:szCs w:val="24"/>
        </w:rPr>
        <w:t xml:space="preserve"> 2011, representing 29.3% of total</w:t>
      </w:r>
      <w:r w:rsidR="008D344E" w:rsidRPr="00210024">
        <w:rPr>
          <w:rFonts w:ascii="Times New Roman" w:hAnsi="Times New Roman" w:cs="Times New Roman"/>
          <w:sz w:val="24"/>
          <w:szCs w:val="24"/>
        </w:rPr>
        <w:t xml:space="preserve"> GDP </w:t>
      </w:r>
      <w:r w:rsidR="002F0072" w:rsidRPr="00210024">
        <w:rPr>
          <w:rFonts w:ascii="Times New Roman" w:hAnsi="Times New Roman" w:cs="Times New Roman"/>
          <w:sz w:val="24"/>
          <w:szCs w:val="24"/>
        </w:rPr>
        <w:t xml:space="preserve">in Palestinian </w:t>
      </w:r>
      <w:r w:rsidR="002C7C30">
        <w:rPr>
          <w:rFonts w:ascii="Times New Roman" w:hAnsi="Times New Roman" w:cs="Times New Roman"/>
          <w:sz w:val="24"/>
          <w:szCs w:val="24"/>
        </w:rPr>
        <w:t>Territory</w:t>
      </w:r>
      <w:r w:rsidR="002F0072" w:rsidRPr="00210024">
        <w:rPr>
          <w:rFonts w:ascii="Times New Roman" w:hAnsi="Times New Roman" w:cs="Times New Roman"/>
          <w:sz w:val="24"/>
          <w:szCs w:val="24"/>
        </w:rPr>
        <w:t xml:space="preserve"> amounted to</w:t>
      </w:r>
      <w:r w:rsidR="0007266B" w:rsidRPr="00210024">
        <w:rPr>
          <w:rFonts w:ascii="Times New Roman" w:hAnsi="Times New Roman" w:cs="Times New Roman"/>
          <w:sz w:val="24"/>
          <w:szCs w:val="24"/>
        </w:rPr>
        <w:t xml:space="preserve"> </w:t>
      </w:r>
      <w:r w:rsidR="000E0C2C">
        <w:rPr>
          <w:rFonts w:ascii="Times New Roman" w:hAnsi="Times New Roman" w:cs="Times New Roman"/>
          <w:sz w:val="24"/>
          <w:szCs w:val="24"/>
        </w:rPr>
        <w:t>USD</w:t>
      </w:r>
      <w:r w:rsidR="008D344E" w:rsidRPr="00210024">
        <w:rPr>
          <w:rFonts w:ascii="Times New Roman" w:hAnsi="Times New Roman" w:cs="Times New Roman"/>
          <w:sz w:val="24"/>
          <w:szCs w:val="24"/>
        </w:rPr>
        <w:t xml:space="preserve"> 6.32 billion, which is lower than the</w:t>
      </w:r>
      <w:r w:rsidR="002F0072" w:rsidRPr="00210024">
        <w:rPr>
          <w:rFonts w:ascii="Times New Roman" w:hAnsi="Times New Roman" w:cs="Times New Roman"/>
          <w:sz w:val="24"/>
          <w:szCs w:val="24"/>
        </w:rPr>
        <w:t xml:space="preserve"> rate of 33.1% in 2004, which means that</w:t>
      </w:r>
      <w:r w:rsidR="008D344E" w:rsidRPr="00210024">
        <w:rPr>
          <w:rFonts w:ascii="Times New Roman" w:hAnsi="Times New Roman" w:cs="Times New Roman"/>
          <w:sz w:val="24"/>
          <w:szCs w:val="24"/>
        </w:rPr>
        <w:t xml:space="preserve"> </w:t>
      </w:r>
      <w:r w:rsidR="002F0072" w:rsidRPr="00210024">
        <w:rPr>
          <w:rFonts w:ascii="Times New Roman" w:hAnsi="Times New Roman" w:cs="Times New Roman"/>
          <w:sz w:val="24"/>
          <w:szCs w:val="24"/>
        </w:rPr>
        <w:t>growth rate</w:t>
      </w:r>
      <w:r w:rsidR="008D344E" w:rsidRPr="00210024">
        <w:rPr>
          <w:rFonts w:ascii="Times New Roman" w:hAnsi="Times New Roman" w:cs="Times New Roman"/>
          <w:sz w:val="24"/>
          <w:szCs w:val="24"/>
        </w:rPr>
        <w:t xml:space="preserve"> during the </w:t>
      </w:r>
      <w:r w:rsidR="002F0072" w:rsidRPr="00210024">
        <w:rPr>
          <w:rFonts w:ascii="Times New Roman" w:hAnsi="Times New Roman" w:cs="Times New Roman"/>
          <w:sz w:val="24"/>
          <w:szCs w:val="24"/>
        </w:rPr>
        <w:t>whole period was higher in West</w:t>
      </w:r>
      <w:r w:rsidR="008D344E" w:rsidRPr="00210024">
        <w:rPr>
          <w:rFonts w:ascii="Times New Roman" w:hAnsi="Times New Roman" w:cs="Times New Roman"/>
          <w:sz w:val="24"/>
          <w:szCs w:val="24"/>
        </w:rPr>
        <w:t xml:space="preserve"> Bank than in Gaza Strip.</w:t>
      </w:r>
    </w:p>
    <w:p w:rsidR="002C2D73" w:rsidRPr="00210024" w:rsidRDefault="008D344E" w:rsidP="007A7FF4">
      <w:pPr>
        <w:spacing w:after="0"/>
        <w:jc w:val="both"/>
        <w:rPr>
          <w:rFonts w:ascii="Times New Roman" w:hAnsi="Times New Roman" w:cs="Times New Roman"/>
          <w:b/>
          <w:bCs/>
          <w:sz w:val="24"/>
          <w:szCs w:val="24"/>
        </w:rPr>
      </w:pPr>
      <w:r w:rsidRPr="00210024">
        <w:rPr>
          <w:rFonts w:ascii="Times New Roman" w:hAnsi="Times New Roman" w:cs="Times New Roman"/>
          <w:sz w:val="24"/>
          <w:szCs w:val="24"/>
        </w:rPr>
        <w:br/>
      </w:r>
    </w:p>
    <w:p w:rsidR="007A7FF4" w:rsidRPr="00210024" w:rsidRDefault="007A7FF4" w:rsidP="007A7FF4">
      <w:pPr>
        <w:spacing w:after="0"/>
        <w:jc w:val="both"/>
        <w:rPr>
          <w:rFonts w:ascii="Times New Roman" w:hAnsi="Times New Roman" w:cs="Times New Roman"/>
          <w:b/>
          <w:bCs/>
          <w:sz w:val="24"/>
          <w:szCs w:val="24"/>
        </w:rPr>
      </w:pPr>
    </w:p>
    <w:p w:rsidR="007A7FF4" w:rsidRPr="00210024" w:rsidRDefault="007A7FF4" w:rsidP="007A7FF4">
      <w:pPr>
        <w:spacing w:after="0"/>
        <w:jc w:val="both"/>
        <w:rPr>
          <w:rFonts w:ascii="Times New Roman" w:hAnsi="Times New Roman" w:cs="Times New Roman"/>
          <w:b/>
          <w:bCs/>
          <w:sz w:val="24"/>
          <w:szCs w:val="24"/>
        </w:rPr>
      </w:pPr>
    </w:p>
    <w:p w:rsidR="007A7FF4" w:rsidRPr="00210024" w:rsidRDefault="007A7FF4" w:rsidP="007A7FF4">
      <w:pPr>
        <w:spacing w:after="0"/>
        <w:jc w:val="both"/>
        <w:rPr>
          <w:rFonts w:ascii="Times New Roman" w:hAnsi="Times New Roman" w:cs="Times New Roman"/>
          <w:b/>
          <w:bCs/>
          <w:sz w:val="24"/>
          <w:szCs w:val="24"/>
        </w:rPr>
      </w:pPr>
    </w:p>
    <w:p w:rsidR="007A7FF4" w:rsidRDefault="007A7FF4" w:rsidP="007A7FF4">
      <w:pPr>
        <w:spacing w:after="0"/>
        <w:jc w:val="both"/>
        <w:rPr>
          <w:rFonts w:ascii="Times New Roman" w:hAnsi="Times New Roman" w:cs="Times New Roman"/>
          <w:b/>
          <w:bCs/>
          <w:sz w:val="24"/>
          <w:szCs w:val="24"/>
        </w:rPr>
      </w:pPr>
    </w:p>
    <w:p w:rsidR="00FE6B5F" w:rsidRDefault="00FE6B5F" w:rsidP="007A7FF4">
      <w:pPr>
        <w:spacing w:after="0"/>
        <w:jc w:val="both"/>
        <w:rPr>
          <w:rFonts w:ascii="Times New Roman" w:hAnsi="Times New Roman" w:cs="Times New Roman"/>
          <w:b/>
          <w:bCs/>
          <w:sz w:val="24"/>
          <w:szCs w:val="24"/>
        </w:rPr>
      </w:pPr>
    </w:p>
    <w:p w:rsidR="00FE6B5F" w:rsidRPr="00210024" w:rsidRDefault="00FE6B5F" w:rsidP="007A7FF4">
      <w:pPr>
        <w:spacing w:after="0"/>
        <w:jc w:val="both"/>
        <w:rPr>
          <w:rFonts w:ascii="Times New Roman" w:hAnsi="Times New Roman" w:cs="Times New Roman"/>
          <w:b/>
          <w:bCs/>
          <w:sz w:val="24"/>
          <w:szCs w:val="24"/>
        </w:rPr>
      </w:pPr>
    </w:p>
    <w:p w:rsidR="007A7FF4" w:rsidRPr="00210024" w:rsidRDefault="007A7FF4" w:rsidP="007A7FF4">
      <w:pPr>
        <w:spacing w:after="0"/>
        <w:jc w:val="both"/>
        <w:rPr>
          <w:rFonts w:ascii="Times New Roman" w:hAnsi="Times New Roman" w:cs="Times New Roman"/>
          <w:b/>
          <w:bCs/>
          <w:sz w:val="24"/>
          <w:szCs w:val="24"/>
        </w:rPr>
      </w:pPr>
    </w:p>
    <w:p w:rsidR="007A7FF4" w:rsidRPr="00210024" w:rsidRDefault="007A7FF4" w:rsidP="007A7FF4">
      <w:pPr>
        <w:spacing w:after="0"/>
        <w:jc w:val="both"/>
        <w:rPr>
          <w:rFonts w:ascii="Times New Roman" w:hAnsi="Times New Roman" w:cs="Times New Roman"/>
          <w:b/>
          <w:bCs/>
          <w:sz w:val="24"/>
          <w:szCs w:val="24"/>
        </w:rPr>
      </w:pPr>
    </w:p>
    <w:p w:rsidR="00FE6B5F" w:rsidRDefault="00FE6B5F" w:rsidP="007A7FF4">
      <w:pPr>
        <w:spacing w:after="0"/>
        <w:jc w:val="center"/>
        <w:rPr>
          <w:rFonts w:ascii="Times New Roman" w:hAnsi="Times New Roman" w:cs="Times New Roman"/>
          <w:b/>
          <w:bCs/>
          <w:sz w:val="24"/>
          <w:szCs w:val="24"/>
        </w:rPr>
      </w:pPr>
    </w:p>
    <w:p w:rsidR="0087757F" w:rsidRPr="00210024" w:rsidRDefault="008D344E" w:rsidP="003A07FC">
      <w:pPr>
        <w:spacing w:after="0"/>
        <w:jc w:val="center"/>
        <w:rPr>
          <w:rFonts w:ascii="Times New Roman" w:hAnsi="Times New Roman" w:cs="Times New Roman"/>
          <w:b/>
          <w:bCs/>
        </w:rPr>
      </w:pPr>
      <w:r w:rsidRPr="00210024">
        <w:rPr>
          <w:rFonts w:ascii="Times New Roman" w:hAnsi="Times New Roman" w:cs="Times New Roman"/>
          <w:b/>
          <w:bCs/>
        </w:rPr>
        <w:lastRenderedPageBreak/>
        <w:t>Figure 1: GDP</w:t>
      </w:r>
      <w:r w:rsidR="003A07FC" w:rsidRPr="003A07FC">
        <w:rPr>
          <w:rFonts w:ascii="Times New Roman" w:hAnsi="Times New Roman" w:cs="Times New Roman"/>
          <w:b/>
          <w:bCs/>
        </w:rPr>
        <w:t xml:space="preserve"> </w:t>
      </w:r>
      <w:r w:rsidR="003A07FC" w:rsidRPr="004E405F">
        <w:rPr>
          <w:rFonts w:ascii="Times New Roman" w:hAnsi="Times New Roman" w:cs="Times New Roman"/>
          <w:b/>
          <w:bCs/>
        </w:rPr>
        <w:t>in</w:t>
      </w:r>
      <w:r w:rsidR="003A07FC">
        <w:rPr>
          <w:rFonts w:ascii="Times New Roman" w:hAnsi="Times New Roman" w:cs="Times New Roman"/>
          <w:b/>
          <w:bCs/>
        </w:rPr>
        <w:t xml:space="preserve"> the</w:t>
      </w:r>
      <w:r w:rsidR="003A07FC" w:rsidRPr="004E405F">
        <w:rPr>
          <w:rFonts w:ascii="Times New Roman" w:hAnsi="Times New Roman" w:cs="Times New Roman"/>
          <w:b/>
          <w:bCs/>
        </w:rPr>
        <w:t xml:space="preserve"> Palestinian </w:t>
      </w:r>
      <w:r w:rsidR="003A07FC">
        <w:rPr>
          <w:rFonts w:ascii="Times New Roman" w:hAnsi="Times New Roman" w:cs="Times New Roman"/>
          <w:b/>
          <w:bCs/>
        </w:rPr>
        <w:t>Territory</w:t>
      </w:r>
      <w:r w:rsidRPr="00210024">
        <w:rPr>
          <w:rFonts w:ascii="Times New Roman" w:hAnsi="Times New Roman" w:cs="Times New Roman"/>
          <w:b/>
          <w:bCs/>
        </w:rPr>
        <w:t xml:space="preserve"> at constant prices (2004-2011)</w:t>
      </w:r>
      <w:r w:rsidR="00111D6A" w:rsidRPr="00210024">
        <w:rPr>
          <w:rStyle w:val="FootnoteReference"/>
          <w:rFonts w:ascii="Times New Roman" w:hAnsi="Times New Roman" w:cs="Times New Roman"/>
          <w:b/>
          <w:bCs/>
        </w:rPr>
        <w:footnoteReference w:id="1"/>
      </w:r>
    </w:p>
    <w:p w:rsidR="004F7818" w:rsidRPr="0046649B" w:rsidRDefault="004F7818" w:rsidP="007A7FF4">
      <w:pPr>
        <w:spacing w:after="0"/>
        <w:jc w:val="center"/>
        <w:rPr>
          <w:rFonts w:ascii="Times New Roman" w:hAnsi="Times New Roman" w:cs="Times New Roman"/>
          <w:b/>
          <w:bCs/>
          <w:sz w:val="18"/>
          <w:szCs w:val="18"/>
        </w:rPr>
      </w:pPr>
      <w:r w:rsidRPr="0046649B">
        <w:rPr>
          <w:rFonts w:ascii="Times New Roman" w:hAnsi="Times New Roman" w:cs="Times New Roman"/>
          <w:b/>
          <w:bCs/>
          <w:sz w:val="18"/>
          <w:szCs w:val="18"/>
        </w:rPr>
        <w:t xml:space="preserve">(Value in </w:t>
      </w:r>
      <w:r w:rsidR="000E0C2C">
        <w:rPr>
          <w:rFonts w:ascii="Times New Roman" w:hAnsi="Times New Roman" w:cs="Times New Roman"/>
          <w:b/>
          <w:bCs/>
          <w:sz w:val="18"/>
          <w:szCs w:val="18"/>
        </w:rPr>
        <w:t>USD</w:t>
      </w:r>
      <w:r w:rsidRPr="0046649B">
        <w:rPr>
          <w:rFonts w:ascii="Times New Roman" w:hAnsi="Times New Roman" w:cs="Times New Roman"/>
          <w:b/>
          <w:bCs/>
          <w:sz w:val="18"/>
          <w:szCs w:val="18"/>
        </w:rPr>
        <w:t xml:space="preserve"> Million)</w:t>
      </w:r>
    </w:p>
    <w:p w:rsidR="003134F1" w:rsidRPr="00210024" w:rsidRDefault="0087757F" w:rsidP="003134F1">
      <w:pPr>
        <w:spacing w:after="0"/>
        <w:jc w:val="center"/>
        <w:rPr>
          <w:rFonts w:ascii="Times New Roman" w:hAnsi="Times New Roman" w:cs="Times New Roman"/>
          <w:sz w:val="24"/>
          <w:szCs w:val="24"/>
        </w:rPr>
      </w:pPr>
      <w:r w:rsidRPr="00210024">
        <w:rPr>
          <w:rFonts w:ascii="Times New Roman" w:hAnsi="Times New Roman" w:cs="Times New Roman"/>
          <w:noProof/>
          <w:sz w:val="24"/>
          <w:szCs w:val="24"/>
        </w:rPr>
        <w:drawing>
          <wp:inline distT="0" distB="0" distL="0" distR="0">
            <wp:extent cx="5082180" cy="2510287"/>
            <wp:effectExtent l="19050" t="0" r="23220" b="4313"/>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9483E" w:rsidRPr="00210024" w:rsidRDefault="008D344E" w:rsidP="00754640">
      <w:pPr>
        <w:spacing w:after="0"/>
        <w:jc w:val="both"/>
        <w:rPr>
          <w:rFonts w:ascii="Times New Roman" w:hAnsi="Times New Roman" w:cs="Times New Roman"/>
          <w:sz w:val="24"/>
          <w:szCs w:val="24"/>
        </w:rPr>
      </w:pPr>
      <w:r w:rsidRPr="00210024">
        <w:rPr>
          <w:rFonts w:ascii="Times New Roman" w:hAnsi="Times New Roman" w:cs="Times New Roman"/>
          <w:sz w:val="24"/>
          <w:szCs w:val="24"/>
        </w:rPr>
        <w:br/>
        <w:t> </w:t>
      </w:r>
      <w:r w:rsidRPr="00210024">
        <w:rPr>
          <w:rFonts w:ascii="Times New Roman" w:hAnsi="Times New Roman" w:cs="Times New Roman"/>
          <w:sz w:val="24"/>
          <w:szCs w:val="24"/>
        </w:rPr>
        <w:br/>
      </w:r>
      <w:r w:rsidR="00226DBA" w:rsidRPr="00210024">
        <w:rPr>
          <w:rFonts w:ascii="Times New Roman" w:hAnsi="Times New Roman" w:cs="Times New Roman"/>
          <w:b/>
          <w:bCs/>
          <w:sz w:val="24"/>
          <w:szCs w:val="24"/>
        </w:rPr>
        <w:t xml:space="preserve">GDP </w:t>
      </w:r>
      <w:r w:rsidRPr="00210024">
        <w:rPr>
          <w:rFonts w:ascii="Times New Roman" w:hAnsi="Times New Roman" w:cs="Times New Roman"/>
          <w:b/>
          <w:bCs/>
          <w:sz w:val="24"/>
          <w:szCs w:val="24"/>
        </w:rPr>
        <w:t>Per capita</w:t>
      </w:r>
      <w:r w:rsidR="00111D6A" w:rsidRPr="00210024">
        <w:rPr>
          <w:rFonts w:ascii="Times New Roman" w:hAnsi="Times New Roman" w:cs="Times New Roman"/>
          <w:b/>
          <w:bCs/>
          <w:sz w:val="24"/>
          <w:szCs w:val="24"/>
        </w:rPr>
        <w:t xml:space="preserve"> </w:t>
      </w:r>
      <w:r w:rsidRPr="00210024">
        <w:rPr>
          <w:rFonts w:ascii="Times New Roman" w:hAnsi="Times New Roman" w:cs="Times New Roman"/>
          <w:b/>
          <w:bCs/>
          <w:sz w:val="24"/>
          <w:szCs w:val="24"/>
        </w:rPr>
        <w:t>in 2011</w:t>
      </w:r>
      <w:r w:rsidR="00111D6A" w:rsidRPr="00210024">
        <w:rPr>
          <w:rFonts w:ascii="Times New Roman" w:hAnsi="Times New Roman" w:cs="Times New Roman"/>
          <w:b/>
          <w:bCs/>
          <w:sz w:val="24"/>
          <w:szCs w:val="24"/>
        </w:rPr>
        <w:t xml:space="preserve"> increased by 6.6% compared with 2010 as it reached </w:t>
      </w:r>
      <w:r w:rsidR="000E0C2C">
        <w:rPr>
          <w:rFonts w:ascii="Times New Roman" w:hAnsi="Times New Roman" w:cs="Times New Roman"/>
          <w:b/>
          <w:bCs/>
          <w:sz w:val="24"/>
          <w:szCs w:val="24"/>
        </w:rPr>
        <w:t>USD</w:t>
      </w:r>
      <w:r w:rsidR="00133194" w:rsidRPr="00210024">
        <w:rPr>
          <w:rFonts w:ascii="Times New Roman" w:hAnsi="Times New Roman" w:cs="Times New Roman"/>
          <w:b/>
          <w:bCs/>
          <w:sz w:val="24"/>
          <w:szCs w:val="24"/>
        </w:rPr>
        <w:t xml:space="preserve"> 1,609.6</w:t>
      </w:r>
      <w:r w:rsidRPr="00210024">
        <w:rPr>
          <w:rFonts w:ascii="Times New Roman" w:hAnsi="Times New Roman" w:cs="Times New Roman"/>
          <w:sz w:val="24"/>
          <w:szCs w:val="24"/>
        </w:rPr>
        <w:t xml:space="preserve"> The </w:t>
      </w:r>
      <w:r w:rsidR="00754640">
        <w:rPr>
          <w:rFonts w:ascii="Times New Roman" w:hAnsi="Times New Roman" w:cs="Times New Roman"/>
          <w:sz w:val="24"/>
          <w:szCs w:val="24"/>
        </w:rPr>
        <w:t xml:space="preserve">GDP </w:t>
      </w:r>
      <w:r w:rsidRPr="00210024">
        <w:rPr>
          <w:rFonts w:ascii="Times New Roman" w:hAnsi="Times New Roman" w:cs="Times New Roman"/>
          <w:sz w:val="24"/>
          <w:szCs w:val="24"/>
        </w:rPr>
        <w:t xml:space="preserve">per capita </w:t>
      </w:r>
      <w:r w:rsidR="00133194" w:rsidRPr="00210024">
        <w:rPr>
          <w:rFonts w:ascii="Times New Roman" w:hAnsi="Times New Roman" w:cs="Times New Roman"/>
          <w:sz w:val="24"/>
          <w:szCs w:val="24"/>
        </w:rPr>
        <w:t>is considered one of important indicators</w:t>
      </w:r>
      <w:r w:rsidRPr="00210024">
        <w:rPr>
          <w:rFonts w:ascii="Times New Roman" w:hAnsi="Times New Roman" w:cs="Times New Roman"/>
          <w:sz w:val="24"/>
          <w:szCs w:val="24"/>
        </w:rPr>
        <w:t xml:space="preserve"> </w:t>
      </w:r>
      <w:r w:rsidR="00133194" w:rsidRPr="00210024">
        <w:rPr>
          <w:rFonts w:ascii="Times New Roman" w:hAnsi="Times New Roman" w:cs="Times New Roman"/>
          <w:sz w:val="24"/>
          <w:szCs w:val="24"/>
        </w:rPr>
        <w:t>measuring individuals' standards of living</w:t>
      </w:r>
      <w:r w:rsidRPr="00210024">
        <w:rPr>
          <w:rFonts w:ascii="Times New Roman" w:hAnsi="Times New Roman" w:cs="Times New Roman"/>
          <w:sz w:val="24"/>
          <w:szCs w:val="24"/>
        </w:rPr>
        <w:t xml:space="preserve"> b</w:t>
      </w:r>
      <w:r w:rsidR="00133194" w:rsidRPr="00210024">
        <w:rPr>
          <w:rFonts w:ascii="Times New Roman" w:hAnsi="Times New Roman" w:cs="Times New Roman"/>
          <w:sz w:val="24"/>
          <w:szCs w:val="24"/>
        </w:rPr>
        <w:t>ecause it takes into account</w:t>
      </w:r>
      <w:r w:rsidRPr="00210024">
        <w:rPr>
          <w:rFonts w:ascii="Times New Roman" w:hAnsi="Times New Roman" w:cs="Times New Roman"/>
          <w:sz w:val="24"/>
          <w:szCs w:val="24"/>
        </w:rPr>
        <w:t xml:space="preserve"> change</w:t>
      </w:r>
      <w:r w:rsidR="00133194" w:rsidRPr="00210024">
        <w:rPr>
          <w:rFonts w:ascii="Times New Roman" w:hAnsi="Times New Roman" w:cs="Times New Roman"/>
          <w:sz w:val="24"/>
          <w:szCs w:val="24"/>
        </w:rPr>
        <w:t>s</w:t>
      </w:r>
      <w:r w:rsidRPr="00210024">
        <w:rPr>
          <w:rFonts w:ascii="Times New Roman" w:hAnsi="Times New Roman" w:cs="Times New Roman"/>
          <w:sz w:val="24"/>
          <w:szCs w:val="24"/>
        </w:rPr>
        <w:t xml:space="preserve"> in population</w:t>
      </w:r>
      <w:r w:rsidR="00133194" w:rsidRPr="00210024">
        <w:rPr>
          <w:rFonts w:ascii="Times New Roman" w:hAnsi="Times New Roman" w:cs="Times New Roman"/>
          <w:sz w:val="24"/>
          <w:szCs w:val="24"/>
        </w:rPr>
        <w:t xml:space="preserve"> size during</w:t>
      </w:r>
      <w:r w:rsidRPr="00210024">
        <w:rPr>
          <w:rFonts w:ascii="Times New Roman" w:hAnsi="Times New Roman" w:cs="Times New Roman"/>
          <w:sz w:val="24"/>
          <w:szCs w:val="24"/>
        </w:rPr>
        <w:t xml:space="preserve"> comparison period. </w:t>
      </w:r>
      <w:r w:rsidR="00DA264A" w:rsidRPr="00210024">
        <w:rPr>
          <w:rFonts w:ascii="Times New Roman" w:hAnsi="Times New Roman" w:cs="Times New Roman"/>
          <w:sz w:val="24"/>
          <w:szCs w:val="24"/>
        </w:rPr>
        <w:t>It</w:t>
      </w:r>
      <w:r w:rsidR="001E77E6" w:rsidRPr="00210024">
        <w:rPr>
          <w:rFonts w:ascii="Times New Roman" w:hAnsi="Times New Roman" w:cs="Times New Roman"/>
          <w:sz w:val="24"/>
          <w:szCs w:val="24"/>
        </w:rPr>
        <w:t xml:space="preserve"> is clear from</w:t>
      </w:r>
      <w:r w:rsidR="00226DBA" w:rsidRPr="00210024">
        <w:rPr>
          <w:rFonts w:ascii="Times New Roman" w:hAnsi="Times New Roman" w:cs="Times New Roman"/>
          <w:sz w:val="24"/>
          <w:szCs w:val="24"/>
        </w:rPr>
        <w:t xml:space="preserve"> Table 1, Per capita</w:t>
      </w:r>
      <w:r w:rsidR="001E77E6" w:rsidRPr="00210024">
        <w:rPr>
          <w:rFonts w:ascii="Times New Roman" w:hAnsi="Times New Roman" w:cs="Times New Roman"/>
          <w:sz w:val="24"/>
          <w:szCs w:val="24"/>
        </w:rPr>
        <w:t xml:space="preserve"> </w:t>
      </w:r>
      <w:r w:rsidRPr="00210024">
        <w:rPr>
          <w:rFonts w:ascii="Times New Roman" w:hAnsi="Times New Roman" w:cs="Times New Roman"/>
          <w:sz w:val="24"/>
          <w:szCs w:val="24"/>
        </w:rPr>
        <w:t xml:space="preserve">continued to </w:t>
      </w:r>
      <w:r w:rsidR="001E77E6" w:rsidRPr="00210024">
        <w:rPr>
          <w:rFonts w:ascii="Times New Roman" w:hAnsi="Times New Roman" w:cs="Times New Roman"/>
          <w:sz w:val="24"/>
          <w:szCs w:val="24"/>
        </w:rPr>
        <w:t xml:space="preserve">rise steadily </w:t>
      </w:r>
      <w:r w:rsidRPr="00210024">
        <w:rPr>
          <w:rFonts w:ascii="Times New Roman" w:hAnsi="Times New Roman" w:cs="Times New Roman"/>
          <w:sz w:val="24"/>
          <w:szCs w:val="24"/>
        </w:rPr>
        <w:t xml:space="preserve">since 2007, </w:t>
      </w:r>
      <w:r w:rsidR="001E77E6" w:rsidRPr="00210024">
        <w:rPr>
          <w:rFonts w:ascii="Times New Roman" w:hAnsi="Times New Roman" w:cs="Times New Roman"/>
          <w:sz w:val="24"/>
          <w:szCs w:val="24"/>
        </w:rPr>
        <w:t>due to</w:t>
      </w:r>
      <w:r w:rsidRPr="00210024">
        <w:rPr>
          <w:rFonts w:ascii="Times New Roman" w:hAnsi="Times New Roman" w:cs="Times New Roman"/>
          <w:sz w:val="24"/>
          <w:szCs w:val="24"/>
        </w:rPr>
        <w:t xml:space="preserve"> high growth rates in gross domestic product by more than population growth </w:t>
      </w:r>
      <w:r w:rsidR="001E77E6" w:rsidRPr="00210024">
        <w:rPr>
          <w:rFonts w:ascii="Times New Roman" w:hAnsi="Times New Roman" w:cs="Times New Roman"/>
          <w:sz w:val="24"/>
          <w:szCs w:val="24"/>
        </w:rPr>
        <w:t>percentages during</w:t>
      </w:r>
      <w:r w:rsidRPr="00210024">
        <w:rPr>
          <w:rFonts w:ascii="Times New Roman" w:hAnsi="Times New Roman" w:cs="Times New Roman"/>
          <w:sz w:val="24"/>
          <w:szCs w:val="24"/>
        </w:rPr>
        <w:t xml:space="preserve"> this </w:t>
      </w:r>
      <w:r w:rsidR="001E77E6" w:rsidRPr="00210024">
        <w:rPr>
          <w:rFonts w:ascii="Times New Roman" w:hAnsi="Times New Roman" w:cs="Times New Roman"/>
          <w:sz w:val="24"/>
          <w:szCs w:val="24"/>
        </w:rPr>
        <w:t>period</w:t>
      </w:r>
      <w:r w:rsidRPr="00210024">
        <w:rPr>
          <w:rFonts w:ascii="Times New Roman" w:hAnsi="Times New Roman" w:cs="Times New Roman"/>
          <w:sz w:val="24"/>
          <w:szCs w:val="24"/>
        </w:rPr>
        <w:t>.</w:t>
      </w:r>
    </w:p>
    <w:p w:rsidR="00DB0052" w:rsidRPr="00210024" w:rsidRDefault="00DB0052" w:rsidP="007A7FF4">
      <w:pPr>
        <w:spacing w:after="0"/>
        <w:jc w:val="center"/>
        <w:rPr>
          <w:rFonts w:ascii="Times New Roman" w:hAnsi="Times New Roman" w:cs="Times New Roman"/>
          <w:sz w:val="24"/>
          <w:szCs w:val="24"/>
        </w:rPr>
      </w:pPr>
    </w:p>
    <w:p w:rsidR="00703BC4" w:rsidRPr="00210024" w:rsidRDefault="00EA7266" w:rsidP="003A07FC">
      <w:pPr>
        <w:spacing w:after="0"/>
        <w:jc w:val="center"/>
        <w:rPr>
          <w:rFonts w:ascii="Times New Roman" w:hAnsi="Times New Roman" w:cs="Times New Roman"/>
          <w:b/>
          <w:bCs/>
          <w:sz w:val="24"/>
          <w:szCs w:val="24"/>
        </w:rPr>
      </w:pPr>
      <w:r w:rsidRPr="004E405F">
        <w:rPr>
          <w:rFonts w:ascii="Times New Roman" w:hAnsi="Times New Roman" w:cs="Times New Roman"/>
          <w:b/>
          <w:bCs/>
        </w:rPr>
        <w:t>Table 1:</w:t>
      </w:r>
      <w:r w:rsidRPr="00210024">
        <w:rPr>
          <w:rFonts w:ascii="Times New Roman" w:hAnsi="Times New Roman" w:cs="Times New Roman"/>
          <w:b/>
          <w:bCs/>
          <w:sz w:val="24"/>
          <w:szCs w:val="24"/>
        </w:rPr>
        <w:t xml:space="preserve"> </w:t>
      </w:r>
      <w:r w:rsidRPr="004E405F">
        <w:rPr>
          <w:rFonts w:ascii="Times New Roman" w:hAnsi="Times New Roman" w:cs="Times New Roman"/>
          <w:b/>
          <w:bCs/>
        </w:rPr>
        <w:t xml:space="preserve">GDP in </w:t>
      </w:r>
      <w:r w:rsidR="003A07FC">
        <w:rPr>
          <w:rFonts w:ascii="Times New Roman" w:hAnsi="Times New Roman" w:cs="Times New Roman"/>
          <w:b/>
          <w:bCs/>
        </w:rPr>
        <w:t xml:space="preserve">the </w:t>
      </w:r>
      <w:r w:rsidRPr="004E405F">
        <w:rPr>
          <w:rFonts w:ascii="Times New Roman" w:hAnsi="Times New Roman" w:cs="Times New Roman"/>
          <w:b/>
          <w:bCs/>
        </w:rPr>
        <w:t xml:space="preserve">Palestinian </w:t>
      </w:r>
      <w:r w:rsidR="002C7C30">
        <w:rPr>
          <w:rFonts w:ascii="Times New Roman" w:hAnsi="Times New Roman" w:cs="Times New Roman"/>
          <w:b/>
          <w:bCs/>
        </w:rPr>
        <w:t>Territory</w:t>
      </w:r>
      <w:r w:rsidR="008D344E" w:rsidRPr="004E405F">
        <w:rPr>
          <w:rFonts w:ascii="Times New Roman" w:hAnsi="Times New Roman" w:cs="Times New Roman"/>
          <w:b/>
          <w:bCs/>
        </w:rPr>
        <w:t xml:space="preserve"> </w:t>
      </w:r>
      <w:r w:rsidRPr="004E405F">
        <w:rPr>
          <w:rFonts w:ascii="Times New Roman" w:hAnsi="Times New Roman" w:cs="Times New Roman"/>
          <w:b/>
          <w:bCs/>
        </w:rPr>
        <w:t xml:space="preserve">at constant prices </w:t>
      </w:r>
      <w:r w:rsidR="003A07FC">
        <w:rPr>
          <w:rFonts w:ascii="Times New Roman" w:hAnsi="Times New Roman" w:cs="Times New Roman"/>
          <w:b/>
          <w:bCs/>
        </w:rPr>
        <w:t>(</w:t>
      </w:r>
      <w:r w:rsidRPr="004E405F">
        <w:rPr>
          <w:rFonts w:ascii="Times New Roman" w:hAnsi="Times New Roman" w:cs="Times New Roman"/>
          <w:b/>
          <w:bCs/>
        </w:rPr>
        <w:t>2004-2011</w:t>
      </w:r>
      <w:r w:rsidR="003A07FC">
        <w:rPr>
          <w:rFonts w:ascii="Times New Roman" w:hAnsi="Times New Roman" w:cs="Times New Roman"/>
          <w:b/>
          <w:bCs/>
        </w:rPr>
        <w:t>)</w:t>
      </w:r>
    </w:p>
    <w:tbl>
      <w:tblPr>
        <w:tblW w:w="9444" w:type="dxa"/>
        <w:jc w:val="center"/>
        <w:tblBorders>
          <w:top w:val="single" w:sz="12" w:space="0" w:color="auto"/>
          <w:bottom w:val="single" w:sz="12" w:space="0" w:color="auto"/>
        </w:tblBorders>
        <w:tblLook w:val="0000"/>
      </w:tblPr>
      <w:tblGrid>
        <w:gridCol w:w="2437"/>
        <w:gridCol w:w="824"/>
        <w:gridCol w:w="814"/>
        <w:gridCol w:w="820"/>
        <w:gridCol w:w="814"/>
        <w:gridCol w:w="978"/>
        <w:gridCol w:w="814"/>
        <w:gridCol w:w="890"/>
        <w:gridCol w:w="1053"/>
      </w:tblGrid>
      <w:tr w:rsidR="008801E1" w:rsidRPr="00210024" w:rsidTr="00CA1079">
        <w:trPr>
          <w:trHeight w:hRule="exact" w:val="543"/>
          <w:jc w:val="center"/>
        </w:trPr>
        <w:tc>
          <w:tcPr>
            <w:tcW w:w="2437" w:type="dxa"/>
            <w:tcBorders>
              <w:top w:val="single" w:sz="12" w:space="0" w:color="auto"/>
              <w:bottom w:val="single" w:sz="12" w:space="0" w:color="auto"/>
            </w:tcBorders>
          </w:tcPr>
          <w:p w:rsidR="00F9483E" w:rsidRPr="00210024" w:rsidRDefault="00F9483E" w:rsidP="007A7FF4">
            <w:pPr>
              <w:pStyle w:val="BodyText3"/>
              <w:spacing w:after="0"/>
              <w:ind w:right="-245"/>
              <w:jc w:val="both"/>
            </w:pPr>
          </w:p>
        </w:tc>
        <w:tc>
          <w:tcPr>
            <w:tcW w:w="824" w:type="dxa"/>
            <w:tcBorders>
              <w:top w:val="single" w:sz="12" w:space="0" w:color="auto"/>
              <w:bottom w:val="single" w:sz="12" w:space="0" w:color="auto"/>
            </w:tcBorders>
            <w:vAlign w:val="center"/>
          </w:tcPr>
          <w:p w:rsidR="00F9483E" w:rsidRPr="00210024" w:rsidRDefault="00F9483E" w:rsidP="003C568B">
            <w:pPr>
              <w:pStyle w:val="BodyText3"/>
              <w:spacing w:after="0"/>
              <w:jc w:val="right"/>
              <w:rPr>
                <w:b/>
                <w:bCs/>
                <w:sz w:val="18"/>
                <w:szCs w:val="18"/>
              </w:rPr>
            </w:pPr>
            <w:r w:rsidRPr="00210024">
              <w:rPr>
                <w:b/>
                <w:bCs/>
                <w:sz w:val="18"/>
                <w:szCs w:val="18"/>
              </w:rPr>
              <w:t>2004</w:t>
            </w:r>
          </w:p>
        </w:tc>
        <w:tc>
          <w:tcPr>
            <w:tcW w:w="814" w:type="dxa"/>
            <w:tcBorders>
              <w:top w:val="single" w:sz="12" w:space="0" w:color="auto"/>
              <w:bottom w:val="single" w:sz="12" w:space="0" w:color="auto"/>
            </w:tcBorders>
            <w:vAlign w:val="center"/>
          </w:tcPr>
          <w:p w:rsidR="00F9483E" w:rsidRPr="00210024" w:rsidRDefault="00F9483E" w:rsidP="003C568B">
            <w:pPr>
              <w:pStyle w:val="BodyText3"/>
              <w:spacing w:after="0"/>
              <w:jc w:val="right"/>
              <w:rPr>
                <w:b/>
                <w:bCs/>
                <w:sz w:val="18"/>
                <w:szCs w:val="18"/>
              </w:rPr>
            </w:pPr>
            <w:r w:rsidRPr="00210024">
              <w:rPr>
                <w:b/>
                <w:bCs/>
                <w:sz w:val="18"/>
                <w:szCs w:val="18"/>
              </w:rPr>
              <w:t>2005</w:t>
            </w:r>
          </w:p>
        </w:tc>
        <w:tc>
          <w:tcPr>
            <w:tcW w:w="820" w:type="dxa"/>
            <w:tcBorders>
              <w:top w:val="single" w:sz="12" w:space="0" w:color="auto"/>
              <w:bottom w:val="single" w:sz="12" w:space="0" w:color="auto"/>
            </w:tcBorders>
            <w:vAlign w:val="center"/>
          </w:tcPr>
          <w:p w:rsidR="00F9483E" w:rsidRPr="00210024" w:rsidRDefault="00F9483E" w:rsidP="003C568B">
            <w:pPr>
              <w:pStyle w:val="BodyText3"/>
              <w:spacing w:after="0"/>
              <w:jc w:val="right"/>
              <w:rPr>
                <w:b/>
                <w:bCs/>
                <w:sz w:val="18"/>
                <w:szCs w:val="18"/>
              </w:rPr>
            </w:pPr>
            <w:r w:rsidRPr="00210024">
              <w:rPr>
                <w:b/>
                <w:bCs/>
                <w:sz w:val="18"/>
                <w:szCs w:val="18"/>
              </w:rPr>
              <w:t>2006</w:t>
            </w:r>
          </w:p>
        </w:tc>
        <w:tc>
          <w:tcPr>
            <w:tcW w:w="814" w:type="dxa"/>
            <w:tcBorders>
              <w:top w:val="single" w:sz="12" w:space="0" w:color="auto"/>
              <w:bottom w:val="single" w:sz="12" w:space="0" w:color="auto"/>
            </w:tcBorders>
            <w:vAlign w:val="center"/>
          </w:tcPr>
          <w:p w:rsidR="00F9483E" w:rsidRPr="00210024" w:rsidRDefault="00F9483E" w:rsidP="003C568B">
            <w:pPr>
              <w:pStyle w:val="BodyText3"/>
              <w:spacing w:after="0"/>
              <w:jc w:val="right"/>
              <w:rPr>
                <w:b/>
                <w:bCs/>
                <w:sz w:val="18"/>
                <w:szCs w:val="18"/>
              </w:rPr>
            </w:pPr>
            <w:r w:rsidRPr="00210024">
              <w:rPr>
                <w:b/>
                <w:bCs/>
                <w:sz w:val="18"/>
                <w:szCs w:val="18"/>
              </w:rPr>
              <w:t>2007</w:t>
            </w:r>
          </w:p>
        </w:tc>
        <w:tc>
          <w:tcPr>
            <w:tcW w:w="978" w:type="dxa"/>
            <w:tcBorders>
              <w:top w:val="single" w:sz="12" w:space="0" w:color="auto"/>
              <w:bottom w:val="single" w:sz="12" w:space="0" w:color="auto"/>
            </w:tcBorders>
            <w:vAlign w:val="center"/>
          </w:tcPr>
          <w:p w:rsidR="00F9483E" w:rsidRPr="00210024" w:rsidRDefault="00F9483E" w:rsidP="003C568B">
            <w:pPr>
              <w:pStyle w:val="BodyText3"/>
              <w:spacing w:after="0"/>
              <w:jc w:val="right"/>
              <w:rPr>
                <w:b/>
                <w:bCs/>
                <w:sz w:val="18"/>
                <w:szCs w:val="18"/>
              </w:rPr>
            </w:pPr>
            <w:r w:rsidRPr="00210024">
              <w:rPr>
                <w:b/>
                <w:bCs/>
                <w:sz w:val="18"/>
                <w:szCs w:val="18"/>
              </w:rPr>
              <w:t>2008</w:t>
            </w:r>
          </w:p>
        </w:tc>
        <w:tc>
          <w:tcPr>
            <w:tcW w:w="814" w:type="dxa"/>
            <w:tcBorders>
              <w:top w:val="single" w:sz="12" w:space="0" w:color="auto"/>
              <w:bottom w:val="single" w:sz="12" w:space="0" w:color="auto"/>
            </w:tcBorders>
            <w:vAlign w:val="center"/>
          </w:tcPr>
          <w:p w:rsidR="00F9483E" w:rsidRPr="00210024" w:rsidRDefault="00F9483E" w:rsidP="003C568B">
            <w:pPr>
              <w:pStyle w:val="BodyText3"/>
              <w:spacing w:after="0"/>
              <w:jc w:val="right"/>
              <w:rPr>
                <w:b/>
                <w:bCs/>
                <w:sz w:val="18"/>
                <w:szCs w:val="18"/>
              </w:rPr>
            </w:pPr>
            <w:r w:rsidRPr="00210024">
              <w:rPr>
                <w:b/>
                <w:bCs/>
                <w:sz w:val="18"/>
                <w:szCs w:val="18"/>
              </w:rPr>
              <w:t>2009</w:t>
            </w:r>
          </w:p>
        </w:tc>
        <w:tc>
          <w:tcPr>
            <w:tcW w:w="890" w:type="dxa"/>
            <w:tcBorders>
              <w:top w:val="single" w:sz="12" w:space="0" w:color="auto"/>
              <w:bottom w:val="single" w:sz="12" w:space="0" w:color="auto"/>
            </w:tcBorders>
            <w:vAlign w:val="center"/>
          </w:tcPr>
          <w:p w:rsidR="00F9483E" w:rsidRPr="00210024" w:rsidRDefault="00F9483E" w:rsidP="003C568B">
            <w:pPr>
              <w:pStyle w:val="BodyText3"/>
              <w:spacing w:after="0"/>
              <w:jc w:val="right"/>
              <w:rPr>
                <w:b/>
                <w:bCs/>
                <w:sz w:val="18"/>
                <w:szCs w:val="18"/>
              </w:rPr>
            </w:pPr>
            <w:r w:rsidRPr="00210024">
              <w:rPr>
                <w:b/>
                <w:bCs/>
                <w:sz w:val="18"/>
                <w:szCs w:val="18"/>
              </w:rPr>
              <w:t>2010</w:t>
            </w:r>
          </w:p>
        </w:tc>
        <w:tc>
          <w:tcPr>
            <w:tcW w:w="1053" w:type="dxa"/>
            <w:tcBorders>
              <w:top w:val="single" w:sz="12" w:space="0" w:color="auto"/>
              <w:bottom w:val="single" w:sz="12" w:space="0" w:color="auto"/>
            </w:tcBorders>
            <w:vAlign w:val="center"/>
          </w:tcPr>
          <w:p w:rsidR="00F9483E" w:rsidRPr="00210024" w:rsidRDefault="00F9483E" w:rsidP="003C568B">
            <w:pPr>
              <w:pStyle w:val="BodyText3"/>
              <w:spacing w:after="0"/>
              <w:jc w:val="right"/>
              <w:rPr>
                <w:b/>
                <w:bCs/>
                <w:sz w:val="18"/>
                <w:szCs w:val="18"/>
              </w:rPr>
            </w:pPr>
            <w:r w:rsidRPr="00210024">
              <w:rPr>
                <w:b/>
                <w:bCs/>
                <w:sz w:val="18"/>
                <w:szCs w:val="18"/>
              </w:rPr>
              <w:t>2011</w:t>
            </w:r>
          </w:p>
        </w:tc>
      </w:tr>
      <w:tr w:rsidR="008801E1" w:rsidRPr="00210024" w:rsidTr="00CA1079">
        <w:trPr>
          <w:trHeight w:hRule="exact" w:val="379"/>
          <w:jc w:val="center"/>
        </w:trPr>
        <w:tc>
          <w:tcPr>
            <w:tcW w:w="2437" w:type="dxa"/>
            <w:tcBorders>
              <w:top w:val="single" w:sz="12" w:space="0" w:color="auto"/>
            </w:tcBorders>
            <w:vAlign w:val="center"/>
          </w:tcPr>
          <w:p w:rsidR="00F9483E" w:rsidRPr="00210024" w:rsidRDefault="00F9483E" w:rsidP="007A7FF4">
            <w:pPr>
              <w:pStyle w:val="BodyText3"/>
              <w:spacing w:after="0"/>
              <w:jc w:val="both"/>
              <w:rPr>
                <w:sz w:val="18"/>
                <w:szCs w:val="18"/>
              </w:rPr>
            </w:pPr>
            <w:r w:rsidRPr="00210024">
              <w:rPr>
                <w:sz w:val="18"/>
                <w:szCs w:val="18"/>
              </w:rPr>
              <w:t xml:space="preserve">GDP (Million </w:t>
            </w:r>
            <w:r w:rsidR="000E0C2C">
              <w:rPr>
                <w:sz w:val="18"/>
                <w:szCs w:val="18"/>
              </w:rPr>
              <w:t>USD</w:t>
            </w:r>
            <w:r w:rsidRPr="00210024">
              <w:rPr>
                <w:sz w:val="18"/>
                <w:szCs w:val="18"/>
              </w:rPr>
              <w:t>)</w:t>
            </w:r>
          </w:p>
        </w:tc>
        <w:tc>
          <w:tcPr>
            <w:tcW w:w="824" w:type="dxa"/>
            <w:tcBorders>
              <w:top w:val="single" w:sz="12" w:space="0" w:color="auto"/>
            </w:tcBorders>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4,198.4</w:t>
            </w:r>
          </w:p>
        </w:tc>
        <w:tc>
          <w:tcPr>
            <w:tcW w:w="814" w:type="dxa"/>
            <w:tcBorders>
              <w:top w:val="single" w:sz="12" w:space="0" w:color="auto"/>
            </w:tcBorders>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4,559.5</w:t>
            </w:r>
          </w:p>
        </w:tc>
        <w:tc>
          <w:tcPr>
            <w:tcW w:w="820" w:type="dxa"/>
            <w:tcBorders>
              <w:top w:val="single" w:sz="12" w:space="0" w:color="auto"/>
            </w:tcBorders>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4,322.3</w:t>
            </w:r>
          </w:p>
        </w:tc>
        <w:tc>
          <w:tcPr>
            <w:tcW w:w="814" w:type="dxa"/>
            <w:tcBorders>
              <w:top w:val="single" w:sz="12" w:space="0" w:color="auto"/>
            </w:tcBorders>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4,554.1</w:t>
            </w:r>
          </w:p>
        </w:tc>
        <w:tc>
          <w:tcPr>
            <w:tcW w:w="978" w:type="dxa"/>
            <w:tcBorders>
              <w:top w:val="single" w:sz="12" w:space="0" w:color="auto"/>
            </w:tcBorders>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4,878.3</w:t>
            </w:r>
          </w:p>
        </w:tc>
        <w:tc>
          <w:tcPr>
            <w:tcW w:w="814" w:type="dxa"/>
            <w:tcBorders>
              <w:top w:val="single" w:sz="12" w:space="0" w:color="auto"/>
            </w:tcBorders>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5,</w:t>
            </w:r>
            <w:r w:rsidRPr="00210024">
              <w:rPr>
                <w:rFonts w:ascii="Times New Roman" w:hAnsi="Times New Roman" w:cs="Times New Roman"/>
                <w:sz w:val="18"/>
                <w:szCs w:val="18"/>
                <w:rtl/>
              </w:rPr>
              <w:t>239.3</w:t>
            </w:r>
          </w:p>
        </w:tc>
        <w:tc>
          <w:tcPr>
            <w:tcW w:w="890" w:type="dxa"/>
            <w:tcBorders>
              <w:top w:val="single" w:sz="12" w:space="0" w:color="auto"/>
            </w:tcBorders>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5,</w:t>
            </w:r>
            <w:r w:rsidRPr="00210024">
              <w:rPr>
                <w:rFonts w:ascii="Times New Roman" w:hAnsi="Times New Roman" w:cs="Times New Roman"/>
                <w:sz w:val="18"/>
                <w:szCs w:val="18"/>
                <w:rtl/>
              </w:rPr>
              <w:t>754.3</w:t>
            </w:r>
          </w:p>
        </w:tc>
        <w:tc>
          <w:tcPr>
            <w:tcW w:w="1053" w:type="dxa"/>
            <w:tcBorders>
              <w:top w:val="single" w:sz="12" w:space="0" w:color="auto"/>
            </w:tcBorders>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6,323.0</w:t>
            </w:r>
          </w:p>
        </w:tc>
      </w:tr>
      <w:tr w:rsidR="008801E1" w:rsidRPr="00210024" w:rsidTr="00CA1079">
        <w:trPr>
          <w:trHeight w:hRule="exact" w:val="300"/>
          <w:jc w:val="center"/>
        </w:trPr>
        <w:tc>
          <w:tcPr>
            <w:tcW w:w="2437" w:type="dxa"/>
            <w:vAlign w:val="center"/>
          </w:tcPr>
          <w:p w:rsidR="00F9483E" w:rsidRPr="00210024" w:rsidRDefault="00F9483E" w:rsidP="007A7FF4">
            <w:pPr>
              <w:pStyle w:val="BodyText3"/>
              <w:spacing w:after="0"/>
              <w:jc w:val="both"/>
              <w:rPr>
                <w:sz w:val="18"/>
                <w:szCs w:val="18"/>
              </w:rPr>
            </w:pPr>
            <w:r w:rsidRPr="00210024">
              <w:rPr>
                <w:sz w:val="18"/>
                <w:szCs w:val="18"/>
              </w:rPr>
              <w:t>Population</w:t>
            </w:r>
            <w:r w:rsidR="00B05614">
              <w:rPr>
                <w:sz w:val="18"/>
                <w:szCs w:val="18"/>
              </w:rPr>
              <w:t xml:space="preserve"> </w:t>
            </w:r>
            <w:r w:rsidRPr="00210024">
              <w:rPr>
                <w:sz w:val="18"/>
                <w:szCs w:val="18"/>
              </w:rPr>
              <w:t>(Thousands)</w:t>
            </w:r>
            <w:r w:rsidRPr="00210024">
              <w:rPr>
                <w:sz w:val="18"/>
                <w:szCs w:val="18"/>
                <w:vertAlign w:val="superscript"/>
              </w:rPr>
              <w:t>2</w:t>
            </w:r>
          </w:p>
        </w:tc>
        <w:tc>
          <w:tcPr>
            <w:tcW w:w="824"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3,188</w:t>
            </w:r>
          </w:p>
        </w:tc>
        <w:tc>
          <w:tcPr>
            <w:tcW w:w="814"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3,287</w:t>
            </w:r>
          </w:p>
        </w:tc>
        <w:tc>
          <w:tcPr>
            <w:tcW w:w="820"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3,389</w:t>
            </w:r>
          </w:p>
        </w:tc>
        <w:tc>
          <w:tcPr>
            <w:tcW w:w="814"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3,495</w:t>
            </w:r>
          </w:p>
        </w:tc>
        <w:tc>
          <w:tcPr>
            <w:tcW w:w="978"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3,597</w:t>
            </w:r>
          </w:p>
        </w:tc>
        <w:tc>
          <w:tcPr>
            <w:tcW w:w="814"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3,702</w:t>
            </w:r>
          </w:p>
        </w:tc>
        <w:tc>
          <w:tcPr>
            <w:tcW w:w="890"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3,813</w:t>
            </w:r>
          </w:p>
        </w:tc>
        <w:tc>
          <w:tcPr>
            <w:tcW w:w="1053"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3,927</w:t>
            </w:r>
          </w:p>
        </w:tc>
      </w:tr>
      <w:tr w:rsidR="008801E1" w:rsidRPr="00210024" w:rsidTr="00CA1079">
        <w:trPr>
          <w:trHeight w:hRule="exact" w:val="296"/>
          <w:jc w:val="center"/>
        </w:trPr>
        <w:tc>
          <w:tcPr>
            <w:tcW w:w="2437" w:type="dxa"/>
            <w:vAlign w:val="center"/>
          </w:tcPr>
          <w:p w:rsidR="00F9483E" w:rsidRPr="00210024" w:rsidRDefault="00F9483E" w:rsidP="007A7FF4">
            <w:pPr>
              <w:pStyle w:val="BodyText3"/>
              <w:spacing w:after="0"/>
              <w:jc w:val="both"/>
              <w:rPr>
                <w:sz w:val="18"/>
                <w:szCs w:val="18"/>
              </w:rPr>
            </w:pPr>
            <w:r w:rsidRPr="00210024">
              <w:rPr>
                <w:sz w:val="18"/>
                <w:szCs w:val="18"/>
              </w:rPr>
              <w:t>GDP Per Capita (</w:t>
            </w:r>
            <w:r w:rsidR="000E0C2C">
              <w:rPr>
                <w:sz w:val="18"/>
                <w:szCs w:val="18"/>
              </w:rPr>
              <w:t>USD</w:t>
            </w:r>
            <w:r w:rsidRPr="00210024">
              <w:rPr>
                <w:sz w:val="18"/>
                <w:szCs w:val="18"/>
              </w:rPr>
              <w:t>)</w:t>
            </w:r>
          </w:p>
        </w:tc>
        <w:tc>
          <w:tcPr>
            <w:tcW w:w="824"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1,317.0</w:t>
            </w:r>
          </w:p>
        </w:tc>
        <w:tc>
          <w:tcPr>
            <w:tcW w:w="814"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1,387.2</w:t>
            </w:r>
          </w:p>
        </w:tc>
        <w:tc>
          <w:tcPr>
            <w:tcW w:w="820"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1,275.4</w:t>
            </w:r>
          </w:p>
        </w:tc>
        <w:tc>
          <w:tcPr>
            <w:tcW w:w="814"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1,303.2</w:t>
            </w:r>
          </w:p>
        </w:tc>
        <w:tc>
          <w:tcPr>
            <w:tcW w:w="978"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1,356.3</w:t>
            </w:r>
          </w:p>
        </w:tc>
        <w:tc>
          <w:tcPr>
            <w:tcW w:w="814"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1,415.2</w:t>
            </w:r>
          </w:p>
        </w:tc>
        <w:tc>
          <w:tcPr>
            <w:tcW w:w="890"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1,509.9</w:t>
            </w:r>
          </w:p>
        </w:tc>
        <w:tc>
          <w:tcPr>
            <w:tcW w:w="1053" w:type="dxa"/>
            <w:vAlign w:val="center"/>
          </w:tcPr>
          <w:p w:rsidR="00F9483E" w:rsidRPr="00210024" w:rsidRDefault="00F9483E" w:rsidP="009179FF">
            <w:pPr>
              <w:spacing w:after="0"/>
              <w:jc w:val="right"/>
              <w:rPr>
                <w:rFonts w:ascii="Times New Roman" w:hAnsi="Times New Roman" w:cs="Times New Roman"/>
                <w:sz w:val="18"/>
                <w:szCs w:val="18"/>
              </w:rPr>
            </w:pPr>
            <w:r w:rsidRPr="00210024">
              <w:rPr>
                <w:rFonts w:ascii="Times New Roman" w:hAnsi="Times New Roman" w:cs="Times New Roman"/>
                <w:sz w:val="18"/>
                <w:szCs w:val="18"/>
              </w:rPr>
              <w:t>1,609.6</w:t>
            </w:r>
          </w:p>
        </w:tc>
      </w:tr>
      <w:tr w:rsidR="008801E1" w:rsidRPr="00210024" w:rsidTr="00CA1079">
        <w:trPr>
          <w:trHeight w:hRule="exact" w:val="359"/>
          <w:jc w:val="center"/>
        </w:trPr>
        <w:tc>
          <w:tcPr>
            <w:tcW w:w="2437" w:type="dxa"/>
            <w:vAlign w:val="center"/>
          </w:tcPr>
          <w:p w:rsidR="00F9483E" w:rsidRPr="00210024" w:rsidRDefault="00F9483E" w:rsidP="007A7FF4">
            <w:pPr>
              <w:pStyle w:val="BodyText3"/>
              <w:spacing w:after="0"/>
              <w:jc w:val="both"/>
              <w:rPr>
                <w:sz w:val="18"/>
                <w:szCs w:val="18"/>
              </w:rPr>
            </w:pPr>
            <w:r w:rsidRPr="00210024">
              <w:rPr>
                <w:sz w:val="18"/>
                <w:szCs w:val="18"/>
              </w:rPr>
              <w:t>% Change of Per Capita</w:t>
            </w:r>
          </w:p>
        </w:tc>
        <w:tc>
          <w:tcPr>
            <w:tcW w:w="824" w:type="dxa"/>
            <w:vAlign w:val="center"/>
          </w:tcPr>
          <w:p w:rsidR="00F9483E" w:rsidRPr="00210024" w:rsidRDefault="00F9483E" w:rsidP="009179FF">
            <w:pPr>
              <w:spacing w:after="0"/>
              <w:jc w:val="right"/>
              <w:rPr>
                <w:rFonts w:ascii="Times New Roman" w:eastAsia="Calibri" w:hAnsi="Times New Roman" w:cs="Times New Roman"/>
                <w:sz w:val="18"/>
                <w:szCs w:val="18"/>
                <w:lang w:eastAsia="ar-SA"/>
              </w:rPr>
            </w:pPr>
            <w:r w:rsidRPr="00210024">
              <w:rPr>
                <w:rFonts w:ascii="Times New Roman" w:eastAsia="Calibri" w:hAnsi="Times New Roman" w:cs="Times New Roman"/>
                <w:sz w:val="18"/>
                <w:szCs w:val="18"/>
                <w:rtl/>
                <w:lang w:eastAsia="ar-SA"/>
              </w:rPr>
              <w:t>-</w:t>
            </w:r>
          </w:p>
        </w:tc>
        <w:tc>
          <w:tcPr>
            <w:tcW w:w="814" w:type="dxa"/>
            <w:vAlign w:val="center"/>
          </w:tcPr>
          <w:p w:rsidR="00F9483E" w:rsidRPr="00210024" w:rsidRDefault="00F9483E" w:rsidP="009179FF">
            <w:pPr>
              <w:spacing w:after="0"/>
              <w:jc w:val="right"/>
              <w:rPr>
                <w:rFonts w:ascii="Times New Roman" w:eastAsia="Calibri" w:hAnsi="Times New Roman" w:cs="Times New Roman"/>
                <w:sz w:val="18"/>
                <w:szCs w:val="18"/>
                <w:lang w:eastAsia="ar-SA"/>
              </w:rPr>
            </w:pPr>
            <w:r w:rsidRPr="00210024">
              <w:rPr>
                <w:rFonts w:ascii="Times New Roman" w:eastAsia="Calibri" w:hAnsi="Times New Roman" w:cs="Times New Roman"/>
                <w:sz w:val="18"/>
                <w:szCs w:val="18"/>
                <w:lang w:eastAsia="ar-SA"/>
              </w:rPr>
              <w:t>5.3</w:t>
            </w:r>
          </w:p>
        </w:tc>
        <w:tc>
          <w:tcPr>
            <w:tcW w:w="820" w:type="dxa"/>
            <w:vAlign w:val="center"/>
          </w:tcPr>
          <w:p w:rsidR="00F9483E" w:rsidRPr="00210024" w:rsidRDefault="00F9483E" w:rsidP="009179FF">
            <w:pPr>
              <w:spacing w:after="0"/>
              <w:jc w:val="right"/>
              <w:rPr>
                <w:rFonts w:ascii="Times New Roman" w:eastAsia="Calibri" w:hAnsi="Times New Roman" w:cs="Times New Roman"/>
                <w:sz w:val="18"/>
                <w:szCs w:val="18"/>
                <w:lang w:eastAsia="ar-SA"/>
              </w:rPr>
            </w:pPr>
            <w:r w:rsidRPr="00210024">
              <w:rPr>
                <w:rFonts w:ascii="Times New Roman" w:eastAsia="Calibri" w:hAnsi="Times New Roman" w:cs="Times New Roman"/>
                <w:sz w:val="18"/>
                <w:szCs w:val="18"/>
                <w:lang w:eastAsia="ar-SA"/>
              </w:rPr>
              <w:t>-8.1</w:t>
            </w:r>
          </w:p>
        </w:tc>
        <w:tc>
          <w:tcPr>
            <w:tcW w:w="814" w:type="dxa"/>
            <w:vAlign w:val="center"/>
          </w:tcPr>
          <w:p w:rsidR="00F9483E" w:rsidRPr="00210024" w:rsidRDefault="00F9483E" w:rsidP="009179FF">
            <w:pPr>
              <w:spacing w:after="0"/>
              <w:jc w:val="right"/>
              <w:rPr>
                <w:rFonts w:ascii="Times New Roman" w:eastAsia="Calibri" w:hAnsi="Times New Roman" w:cs="Times New Roman"/>
                <w:sz w:val="18"/>
                <w:szCs w:val="18"/>
                <w:lang w:eastAsia="ar-SA"/>
              </w:rPr>
            </w:pPr>
            <w:r w:rsidRPr="00210024">
              <w:rPr>
                <w:rFonts w:ascii="Times New Roman" w:eastAsia="Calibri" w:hAnsi="Times New Roman" w:cs="Times New Roman"/>
                <w:sz w:val="18"/>
                <w:szCs w:val="18"/>
                <w:lang w:eastAsia="ar-SA"/>
              </w:rPr>
              <w:t>2.2</w:t>
            </w:r>
          </w:p>
        </w:tc>
        <w:tc>
          <w:tcPr>
            <w:tcW w:w="978" w:type="dxa"/>
            <w:vAlign w:val="center"/>
          </w:tcPr>
          <w:p w:rsidR="00F9483E" w:rsidRPr="00210024" w:rsidRDefault="00F9483E" w:rsidP="009179FF">
            <w:pPr>
              <w:spacing w:after="0"/>
              <w:jc w:val="right"/>
              <w:rPr>
                <w:rFonts w:ascii="Times New Roman" w:eastAsia="Calibri" w:hAnsi="Times New Roman" w:cs="Times New Roman"/>
                <w:sz w:val="18"/>
                <w:szCs w:val="18"/>
                <w:lang w:eastAsia="ar-SA"/>
              </w:rPr>
            </w:pPr>
            <w:r w:rsidRPr="00210024">
              <w:rPr>
                <w:rFonts w:ascii="Times New Roman" w:eastAsia="Calibri" w:hAnsi="Times New Roman" w:cs="Times New Roman"/>
                <w:sz w:val="18"/>
                <w:szCs w:val="18"/>
                <w:lang w:eastAsia="ar-SA"/>
              </w:rPr>
              <w:t>4.1</w:t>
            </w:r>
          </w:p>
        </w:tc>
        <w:tc>
          <w:tcPr>
            <w:tcW w:w="814" w:type="dxa"/>
            <w:vAlign w:val="center"/>
          </w:tcPr>
          <w:p w:rsidR="00F9483E" w:rsidRPr="00210024" w:rsidRDefault="00F9483E" w:rsidP="009179FF">
            <w:pPr>
              <w:spacing w:after="0"/>
              <w:jc w:val="right"/>
              <w:rPr>
                <w:rFonts w:ascii="Times New Roman" w:eastAsia="Calibri" w:hAnsi="Times New Roman" w:cs="Times New Roman"/>
                <w:sz w:val="18"/>
                <w:szCs w:val="18"/>
                <w:lang w:eastAsia="ar-SA"/>
              </w:rPr>
            </w:pPr>
            <w:r w:rsidRPr="00210024">
              <w:rPr>
                <w:rFonts w:ascii="Times New Roman" w:eastAsia="Calibri" w:hAnsi="Times New Roman" w:cs="Times New Roman"/>
                <w:sz w:val="18"/>
                <w:szCs w:val="18"/>
                <w:lang w:eastAsia="ar-SA"/>
              </w:rPr>
              <w:t>4.3</w:t>
            </w:r>
          </w:p>
        </w:tc>
        <w:tc>
          <w:tcPr>
            <w:tcW w:w="890" w:type="dxa"/>
            <w:vAlign w:val="center"/>
          </w:tcPr>
          <w:p w:rsidR="00F9483E" w:rsidRPr="00210024" w:rsidRDefault="00F9483E" w:rsidP="009179FF">
            <w:pPr>
              <w:spacing w:after="0"/>
              <w:jc w:val="right"/>
              <w:rPr>
                <w:rFonts w:ascii="Times New Roman" w:eastAsia="Calibri" w:hAnsi="Times New Roman" w:cs="Times New Roman"/>
                <w:sz w:val="18"/>
                <w:szCs w:val="18"/>
                <w:lang w:eastAsia="ar-SA"/>
              </w:rPr>
            </w:pPr>
            <w:r w:rsidRPr="00210024">
              <w:rPr>
                <w:rFonts w:ascii="Times New Roman" w:eastAsia="Calibri" w:hAnsi="Times New Roman" w:cs="Times New Roman"/>
                <w:sz w:val="18"/>
                <w:szCs w:val="18"/>
                <w:lang w:eastAsia="ar-SA"/>
              </w:rPr>
              <w:t>6.7</w:t>
            </w:r>
          </w:p>
        </w:tc>
        <w:tc>
          <w:tcPr>
            <w:tcW w:w="1053" w:type="dxa"/>
            <w:vAlign w:val="center"/>
          </w:tcPr>
          <w:p w:rsidR="00F9483E" w:rsidRPr="00210024" w:rsidRDefault="00F9483E" w:rsidP="009179FF">
            <w:pPr>
              <w:spacing w:after="0"/>
              <w:jc w:val="right"/>
              <w:rPr>
                <w:rFonts w:ascii="Times New Roman" w:eastAsia="Calibri" w:hAnsi="Times New Roman" w:cs="Times New Roman"/>
                <w:sz w:val="18"/>
                <w:szCs w:val="18"/>
                <w:lang w:eastAsia="ar-SA"/>
              </w:rPr>
            </w:pPr>
            <w:r w:rsidRPr="00210024">
              <w:rPr>
                <w:rFonts w:ascii="Times New Roman" w:eastAsia="Calibri" w:hAnsi="Times New Roman" w:cs="Times New Roman"/>
                <w:sz w:val="18"/>
                <w:szCs w:val="18"/>
                <w:lang w:eastAsia="ar-SA"/>
              </w:rPr>
              <w:t>6.6</w:t>
            </w:r>
          </w:p>
        </w:tc>
      </w:tr>
      <w:tr w:rsidR="008801E1" w:rsidRPr="00210024" w:rsidTr="00CA1079">
        <w:trPr>
          <w:trHeight w:hRule="exact" w:val="534"/>
          <w:jc w:val="center"/>
        </w:trPr>
        <w:tc>
          <w:tcPr>
            <w:tcW w:w="2437" w:type="dxa"/>
            <w:vAlign w:val="center"/>
          </w:tcPr>
          <w:p w:rsidR="008801E1" w:rsidRPr="00210024" w:rsidRDefault="008801E1" w:rsidP="00B05614">
            <w:pPr>
              <w:pStyle w:val="BodyText3"/>
              <w:spacing w:after="0"/>
              <w:jc w:val="both"/>
              <w:rPr>
                <w:sz w:val="18"/>
                <w:szCs w:val="18"/>
              </w:rPr>
            </w:pPr>
            <w:r w:rsidRPr="00210024">
              <w:rPr>
                <w:sz w:val="18"/>
                <w:szCs w:val="18"/>
              </w:rPr>
              <w:t>GDP Per capita in  West Bank (US</w:t>
            </w:r>
            <w:r w:rsidR="00B05614">
              <w:rPr>
                <w:sz w:val="18"/>
                <w:szCs w:val="18"/>
              </w:rPr>
              <w:t>.$</w:t>
            </w:r>
            <w:r w:rsidRPr="00210024">
              <w:rPr>
                <w:sz w:val="18"/>
                <w:szCs w:val="18"/>
              </w:rPr>
              <w:t>)</w:t>
            </w:r>
          </w:p>
        </w:tc>
        <w:tc>
          <w:tcPr>
            <w:tcW w:w="824" w:type="dxa"/>
          </w:tcPr>
          <w:p w:rsidR="008801E1" w:rsidRPr="00210024" w:rsidRDefault="008801E1" w:rsidP="009179FF">
            <w:pPr>
              <w:pStyle w:val="BodyText3"/>
              <w:spacing w:after="0"/>
              <w:jc w:val="right"/>
              <w:rPr>
                <w:sz w:val="18"/>
                <w:szCs w:val="18"/>
              </w:rPr>
            </w:pPr>
            <w:r w:rsidRPr="00210024">
              <w:rPr>
                <w:sz w:val="18"/>
                <w:szCs w:val="18"/>
              </w:rPr>
              <w:t>1,457.1</w:t>
            </w:r>
          </w:p>
        </w:tc>
        <w:tc>
          <w:tcPr>
            <w:tcW w:w="814" w:type="dxa"/>
          </w:tcPr>
          <w:p w:rsidR="008801E1" w:rsidRPr="00210024" w:rsidRDefault="008801E1" w:rsidP="009179FF">
            <w:pPr>
              <w:pStyle w:val="BodyText3"/>
              <w:spacing w:after="0"/>
              <w:jc w:val="right"/>
              <w:rPr>
                <w:sz w:val="18"/>
                <w:szCs w:val="18"/>
              </w:rPr>
            </w:pPr>
            <w:r w:rsidRPr="00210024">
              <w:rPr>
                <w:sz w:val="18"/>
                <w:szCs w:val="18"/>
              </w:rPr>
              <w:t>1,451.1</w:t>
            </w:r>
          </w:p>
        </w:tc>
        <w:tc>
          <w:tcPr>
            <w:tcW w:w="820" w:type="dxa"/>
          </w:tcPr>
          <w:p w:rsidR="008801E1" w:rsidRPr="00210024" w:rsidRDefault="008801E1" w:rsidP="009179FF">
            <w:pPr>
              <w:pStyle w:val="BodyText3"/>
              <w:spacing w:after="0"/>
              <w:jc w:val="right"/>
              <w:rPr>
                <w:sz w:val="18"/>
                <w:szCs w:val="18"/>
              </w:rPr>
            </w:pPr>
            <w:r w:rsidRPr="00210024">
              <w:rPr>
                <w:sz w:val="18"/>
                <w:szCs w:val="18"/>
              </w:rPr>
              <w:t>1,459.8</w:t>
            </w:r>
          </w:p>
        </w:tc>
        <w:tc>
          <w:tcPr>
            <w:tcW w:w="814" w:type="dxa"/>
          </w:tcPr>
          <w:p w:rsidR="008801E1" w:rsidRPr="00210024" w:rsidRDefault="008801E1" w:rsidP="009179FF">
            <w:pPr>
              <w:pStyle w:val="BodyText3"/>
              <w:spacing w:after="0"/>
              <w:jc w:val="right"/>
              <w:rPr>
                <w:sz w:val="18"/>
                <w:szCs w:val="18"/>
              </w:rPr>
            </w:pPr>
            <w:r w:rsidRPr="00210024">
              <w:rPr>
                <w:sz w:val="18"/>
                <w:szCs w:val="18"/>
              </w:rPr>
              <w:t>1,580.5</w:t>
            </w:r>
          </w:p>
        </w:tc>
        <w:tc>
          <w:tcPr>
            <w:tcW w:w="978" w:type="dxa"/>
          </w:tcPr>
          <w:p w:rsidR="008801E1" w:rsidRPr="00210024" w:rsidRDefault="008801E1" w:rsidP="009179FF">
            <w:pPr>
              <w:pStyle w:val="BodyText3"/>
              <w:spacing w:after="0"/>
              <w:jc w:val="right"/>
              <w:rPr>
                <w:sz w:val="18"/>
                <w:szCs w:val="18"/>
              </w:rPr>
            </w:pPr>
            <w:r w:rsidRPr="00210024">
              <w:rPr>
                <w:sz w:val="18"/>
                <w:szCs w:val="18"/>
              </w:rPr>
              <w:t>1,723.6</w:t>
            </w:r>
          </w:p>
        </w:tc>
        <w:tc>
          <w:tcPr>
            <w:tcW w:w="814" w:type="dxa"/>
          </w:tcPr>
          <w:p w:rsidR="008801E1" w:rsidRPr="00210024" w:rsidRDefault="008801E1" w:rsidP="009179FF">
            <w:pPr>
              <w:pStyle w:val="BodyText3"/>
              <w:spacing w:after="0"/>
              <w:jc w:val="right"/>
              <w:rPr>
                <w:sz w:val="18"/>
                <w:szCs w:val="18"/>
              </w:rPr>
            </w:pPr>
            <w:r w:rsidRPr="00210024">
              <w:rPr>
                <w:sz w:val="18"/>
                <w:szCs w:val="18"/>
              </w:rPr>
              <w:t>1,796.3</w:t>
            </w:r>
          </w:p>
        </w:tc>
        <w:tc>
          <w:tcPr>
            <w:tcW w:w="890" w:type="dxa"/>
          </w:tcPr>
          <w:p w:rsidR="008801E1" w:rsidRPr="00210024" w:rsidRDefault="008801E1" w:rsidP="009179FF">
            <w:pPr>
              <w:pStyle w:val="BodyText3"/>
              <w:spacing w:after="0"/>
              <w:jc w:val="right"/>
              <w:rPr>
                <w:sz w:val="18"/>
                <w:szCs w:val="18"/>
              </w:rPr>
            </w:pPr>
            <w:r w:rsidRPr="00210024">
              <w:rPr>
                <w:sz w:val="18"/>
                <w:szCs w:val="18"/>
              </w:rPr>
              <w:t>1,867.1</w:t>
            </w:r>
          </w:p>
        </w:tc>
        <w:tc>
          <w:tcPr>
            <w:tcW w:w="1053" w:type="dxa"/>
          </w:tcPr>
          <w:p w:rsidR="008801E1" w:rsidRPr="00210024" w:rsidRDefault="008801E1" w:rsidP="009179FF">
            <w:pPr>
              <w:pStyle w:val="BodyText3"/>
              <w:spacing w:after="0"/>
              <w:jc w:val="right"/>
              <w:rPr>
                <w:sz w:val="18"/>
                <w:szCs w:val="18"/>
              </w:rPr>
            </w:pPr>
            <w:r w:rsidRPr="00210024">
              <w:rPr>
                <w:sz w:val="18"/>
                <w:szCs w:val="18"/>
              </w:rPr>
              <w:t>1,912.1</w:t>
            </w:r>
          </w:p>
        </w:tc>
      </w:tr>
      <w:tr w:rsidR="008801E1" w:rsidRPr="00210024" w:rsidTr="00CA1079">
        <w:trPr>
          <w:trHeight w:hRule="exact" w:val="534"/>
          <w:jc w:val="center"/>
        </w:trPr>
        <w:tc>
          <w:tcPr>
            <w:tcW w:w="2437" w:type="dxa"/>
            <w:vAlign w:val="center"/>
          </w:tcPr>
          <w:p w:rsidR="008801E1" w:rsidRPr="00210024" w:rsidRDefault="008801E1" w:rsidP="007A7FF4">
            <w:pPr>
              <w:pStyle w:val="BodyText3"/>
              <w:spacing w:after="0"/>
              <w:jc w:val="both"/>
              <w:rPr>
                <w:sz w:val="18"/>
                <w:szCs w:val="18"/>
              </w:rPr>
            </w:pPr>
            <w:r w:rsidRPr="00210024">
              <w:rPr>
                <w:sz w:val="18"/>
                <w:szCs w:val="18"/>
              </w:rPr>
              <w:t>Percentage of change in per capita (West Bank)</w:t>
            </w:r>
          </w:p>
        </w:tc>
        <w:tc>
          <w:tcPr>
            <w:tcW w:w="824" w:type="dxa"/>
          </w:tcPr>
          <w:p w:rsidR="008801E1" w:rsidRPr="00210024" w:rsidRDefault="008801E1" w:rsidP="009179FF">
            <w:pPr>
              <w:pStyle w:val="BodyText3"/>
              <w:spacing w:after="0"/>
              <w:jc w:val="right"/>
              <w:rPr>
                <w:sz w:val="18"/>
                <w:szCs w:val="18"/>
              </w:rPr>
            </w:pPr>
            <w:r w:rsidRPr="00210024">
              <w:rPr>
                <w:sz w:val="18"/>
                <w:szCs w:val="18"/>
              </w:rPr>
              <w:t>-</w:t>
            </w:r>
          </w:p>
        </w:tc>
        <w:tc>
          <w:tcPr>
            <w:tcW w:w="814" w:type="dxa"/>
          </w:tcPr>
          <w:p w:rsidR="008801E1" w:rsidRPr="00210024" w:rsidRDefault="008801E1" w:rsidP="009179FF">
            <w:pPr>
              <w:pStyle w:val="BodyText3"/>
              <w:spacing w:after="0"/>
              <w:jc w:val="right"/>
              <w:rPr>
                <w:sz w:val="18"/>
                <w:szCs w:val="18"/>
              </w:rPr>
            </w:pPr>
            <w:r w:rsidRPr="00210024">
              <w:rPr>
                <w:sz w:val="18"/>
                <w:szCs w:val="18"/>
              </w:rPr>
              <w:t>- 0.4</w:t>
            </w:r>
          </w:p>
        </w:tc>
        <w:tc>
          <w:tcPr>
            <w:tcW w:w="820" w:type="dxa"/>
          </w:tcPr>
          <w:p w:rsidR="008801E1" w:rsidRPr="00210024" w:rsidRDefault="008801E1" w:rsidP="009179FF">
            <w:pPr>
              <w:pStyle w:val="BodyText3"/>
              <w:spacing w:after="0"/>
              <w:jc w:val="right"/>
              <w:rPr>
                <w:sz w:val="18"/>
                <w:szCs w:val="18"/>
              </w:rPr>
            </w:pPr>
            <w:r w:rsidRPr="00210024">
              <w:rPr>
                <w:sz w:val="18"/>
                <w:szCs w:val="18"/>
              </w:rPr>
              <w:t>0.6</w:t>
            </w:r>
          </w:p>
        </w:tc>
        <w:tc>
          <w:tcPr>
            <w:tcW w:w="814" w:type="dxa"/>
          </w:tcPr>
          <w:p w:rsidR="008801E1" w:rsidRPr="00210024" w:rsidRDefault="008801E1" w:rsidP="009179FF">
            <w:pPr>
              <w:pStyle w:val="BodyText3"/>
              <w:spacing w:after="0"/>
              <w:jc w:val="right"/>
              <w:rPr>
                <w:sz w:val="18"/>
                <w:szCs w:val="18"/>
              </w:rPr>
            </w:pPr>
            <w:r w:rsidRPr="00210024">
              <w:rPr>
                <w:sz w:val="18"/>
                <w:szCs w:val="18"/>
              </w:rPr>
              <w:t>8.3</w:t>
            </w:r>
          </w:p>
        </w:tc>
        <w:tc>
          <w:tcPr>
            <w:tcW w:w="978" w:type="dxa"/>
          </w:tcPr>
          <w:p w:rsidR="008801E1" w:rsidRPr="00210024" w:rsidRDefault="008801E1" w:rsidP="009179FF">
            <w:pPr>
              <w:pStyle w:val="BodyText3"/>
              <w:spacing w:after="0"/>
              <w:jc w:val="right"/>
              <w:rPr>
                <w:sz w:val="18"/>
                <w:szCs w:val="18"/>
              </w:rPr>
            </w:pPr>
            <w:r w:rsidRPr="00210024">
              <w:rPr>
                <w:sz w:val="18"/>
                <w:szCs w:val="18"/>
              </w:rPr>
              <w:t>9.1</w:t>
            </w:r>
          </w:p>
        </w:tc>
        <w:tc>
          <w:tcPr>
            <w:tcW w:w="814" w:type="dxa"/>
          </w:tcPr>
          <w:p w:rsidR="008801E1" w:rsidRPr="00210024" w:rsidRDefault="008801E1" w:rsidP="009179FF">
            <w:pPr>
              <w:pStyle w:val="BodyText3"/>
              <w:spacing w:after="0"/>
              <w:jc w:val="right"/>
              <w:rPr>
                <w:sz w:val="18"/>
                <w:szCs w:val="18"/>
              </w:rPr>
            </w:pPr>
            <w:r w:rsidRPr="00210024">
              <w:rPr>
                <w:sz w:val="18"/>
                <w:szCs w:val="18"/>
              </w:rPr>
              <w:t>4.2</w:t>
            </w:r>
          </w:p>
        </w:tc>
        <w:tc>
          <w:tcPr>
            <w:tcW w:w="890" w:type="dxa"/>
          </w:tcPr>
          <w:p w:rsidR="008801E1" w:rsidRPr="00210024" w:rsidRDefault="008801E1" w:rsidP="009179FF">
            <w:pPr>
              <w:pStyle w:val="BodyText3"/>
              <w:spacing w:after="0"/>
              <w:jc w:val="right"/>
              <w:rPr>
                <w:sz w:val="18"/>
                <w:szCs w:val="18"/>
              </w:rPr>
            </w:pPr>
            <w:r w:rsidRPr="00210024">
              <w:rPr>
                <w:sz w:val="18"/>
                <w:szCs w:val="18"/>
              </w:rPr>
              <w:t>3.9</w:t>
            </w:r>
          </w:p>
        </w:tc>
        <w:tc>
          <w:tcPr>
            <w:tcW w:w="1053" w:type="dxa"/>
          </w:tcPr>
          <w:p w:rsidR="008801E1" w:rsidRPr="00210024" w:rsidRDefault="008801E1" w:rsidP="009179FF">
            <w:pPr>
              <w:pStyle w:val="BodyText3"/>
              <w:spacing w:after="0"/>
              <w:jc w:val="right"/>
              <w:rPr>
                <w:sz w:val="18"/>
                <w:szCs w:val="18"/>
              </w:rPr>
            </w:pPr>
            <w:r w:rsidRPr="00210024">
              <w:rPr>
                <w:sz w:val="18"/>
                <w:szCs w:val="18"/>
              </w:rPr>
              <w:t>2.4</w:t>
            </w:r>
          </w:p>
        </w:tc>
      </w:tr>
      <w:tr w:rsidR="008801E1" w:rsidRPr="00210024" w:rsidTr="00CA1079">
        <w:trPr>
          <w:trHeight w:hRule="exact" w:val="534"/>
          <w:jc w:val="center"/>
        </w:trPr>
        <w:tc>
          <w:tcPr>
            <w:tcW w:w="2437" w:type="dxa"/>
            <w:vAlign w:val="center"/>
          </w:tcPr>
          <w:p w:rsidR="008801E1" w:rsidRPr="00210024" w:rsidRDefault="008801E1" w:rsidP="00B05614">
            <w:pPr>
              <w:pStyle w:val="BodyText3"/>
              <w:spacing w:after="0"/>
              <w:jc w:val="both"/>
              <w:rPr>
                <w:sz w:val="18"/>
                <w:szCs w:val="18"/>
              </w:rPr>
            </w:pPr>
            <w:r w:rsidRPr="00210024">
              <w:rPr>
                <w:sz w:val="18"/>
                <w:szCs w:val="18"/>
              </w:rPr>
              <w:t>GDP Per capita in Gaza Strip (US</w:t>
            </w:r>
            <w:r w:rsidR="00B05614">
              <w:rPr>
                <w:sz w:val="18"/>
                <w:szCs w:val="18"/>
              </w:rPr>
              <w:t>.$</w:t>
            </w:r>
            <w:r w:rsidRPr="00210024">
              <w:rPr>
                <w:sz w:val="18"/>
                <w:szCs w:val="18"/>
              </w:rPr>
              <w:t>)</w:t>
            </w:r>
          </w:p>
        </w:tc>
        <w:tc>
          <w:tcPr>
            <w:tcW w:w="824" w:type="dxa"/>
          </w:tcPr>
          <w:p w:rsidR="008801E1" w:rsidRPr="00210024" w:rsidRDefault="008801E1" w:rsidP="009179FF">
            <w:pPr>
              <w:pStyle w:val="BodyText3"/>
              <w:spacing w:after="0"/>
              <w:jc w:val="right"/>
              <w:rPr>
                <w:sz w:val="18"/>
                <w:szCs w:val="18"/>
              </w:rPr>
            </w:pPr>
            <w:r w:rsidRPr="00210024">
              <w:rPr>
                <w:sz w:val="18"/>
                <w:szCs w:val="18"/>
              </w:rPr>
              <w:t>1,103.1</w:t>
            </w:r>
          </w:p>
        </w:tc>
        <w:tc>
          <w:tcPr>
            <w:tcW w:w="814" w:type="dxa"/>
          </w:tcPr>
          <w:p w:rsidR="008801E1" w:rsidRPr="00210024" w:rsidRDefault="008801E1" w:rsidP="009179FF">
            <w:pPr>
              <w:pStyle w:val="BodyText3"/>
              <w:spacing w:after="0"/>
              <w:jc w:val="right"/>
              <w:rPr>
                <w:sz w:val="18"/>
                <w:szCs w:val="18"/>
              </w:rPr>
            </w:pPr>
            <w:r w:rsidRPr="00210024">
              <w:rPr>
                <w:sz w:val="18"/>
                <w:szCs w:val="18"/>
              </w:rPr>
              <w:t>1,290.1</w:t>
            </w:r>
          </w:p>
        </w:tc>
        <w:tc>
          <w:tcPr>
            <w:tcW w:w="820" w:type="dxa"/>
          </w:tcPr>
          <w:p w:rsidR="008801E1" w:rsidRPr="00210024" w:rsidRDefault="008801E1" w:rsidP="009179FF">
            <w:pPr>
              <w:pStyle w:val="BodyText3"/>
              <w:spacing w:after="0"/>
              <w:jc w:val="right"/>
              <w:rPr>
                <w:sz w:val="18"/>
                <w:szCs w:val="18"/>
              </w:rPr>
            </w:pPr>
            <w:r w:rsidRPr="00210024">
              <w:rPr>
                <w:sz w:val="18"/>
                <w:szCs w:val="18"/>
              </w:rPr>
              <w:t>996.5</w:t>
            </w:r>
          </w:p>
        </w:tc>
        <w:tc>
          <w:tcPr>
            <w:tcW w:w="814" w:type="dxa"/>
          </w:tcPr>
          <w:p w:rsidR="008801E1" w:rsidRPr="00210024" w:rsidRDefault="008801E1" w:rsidP="009179FF">
            <w:pPr>
              <w:pStyle w:val="BodyText3"/>
              <w:spacing w:after="0"/>
              <w:jc w:val="right"/>
              <w:rPr>
                <w:sz w:val="18"/>
                <w:szCs w:val="18"/>
              </w:rPr>
            </w:pPr>
            <w:r w:rsidRPr="00210024">
              <w:rPr>
                <w:sz w:val="18"/>
                <w:szCs w:val="18"/>
              </w:rPr>
              <w:t>886.2</w:t>
            </w:r>
          </w:p>
        </w:tc>
        <w:tc>
          <w:tcPr>
            <w:tcW w:w="978" w:type="dxa"/>
          </w:tcPr>
          <w:p w:rsidR="008801E1" w:rsidRPr="00210024" w:rsidRDefault="008801E1" w:rsidP="009179FF">
            <w:pPr>
              <w:pStyle w:val="BodyText3"/>
              <w:spacing w:after="0"/>
              <w:jc w:val="right"/>
              <w:rPr>
                <w:sz w:val="18"/>
                <w:szCs w:val="18"/>
              </w:rPr>
            </w:pPr>
            <w:r w:rsidRPr="00210024">
              <w:rPr>
                <w:sz w:val="18"/>
                <w:szCs w:val="18"/>
              </w:rPr>
              <w:t>806.5</w:t>
            </w:r>
          </w:p>
        </w:tc>
        <w:tc>
          <w:tcPr>
            <w:tcW w:w="814" w:type="dxa"/>
          </w:tcPr>
          <w:p w:rsidR="008801E1" w:rsidRPr="00210024" w:rsidRDefault="008801E1" w:rsidP="009179FF">
            <w:pPr>
              <w:pStyle w:val="BodyText3"/>
              <w:spacing w:after="0"/>
              <w:jc w:val="right"/>
              <w:rPr>
                <w:sz w:val="18"/>
                <w:szCs w:val="18"/>
              </w:rPr>
            </w:pPr>
            <w:r w:rsidRPr="00210024">
              <w:rPr>
                <w:sz w:val="18"/>
                <w:szCs w:val="18"/>
              </w:rPr>
              <w:t>847.2</w:t>
            </w:r>
          </w:p>
        </w:tc>
        <w:tc>
          <w:tcPr>
            <w:tcW w:w="890" w:type="dxa"/>
          </w:tcPr>
          <w:p w:rsidR="008801E1" w:rsidRPr="00210024" w:rsidRDefault="008801E1" w:rsidP="009179FF">
            <w:pPr>
              <w:pStyle w:val="BodyText3"/>
              <w:spacing w:after="0"/>
              <w:jc w:val="right"/>
              <w:rPr>
                <w:sz w:val="18"/>
                <w:szCs w:val="18"/>
              </w:rPr>
            </w:pPr>
            <w:r w:rsidRPr="00210024">
              <w:rPr>
                <w:sz w:val="18"/>
                <w:szCs w:val="18"/>
              </w:rPr>
              <w:t>980.2</w:t>
            </w:r>
          </w:p>
        </w:tc>
        <w:tc>
          <w:tcPr>
            <w:tcW w:w="1053" w:type="dxa"/>
          </w:tcPr>
          <w:p w:rsidR="008801E1" w:rsidRPr="00210024" w:rsidRDefault="008801E1" w:rsidP="009179FF">
            <w:pPr>
              <w:pStyle w:val="BodyText3"/>
              <w:spacing w:after="0"/>
              <w:jc w:val="right"/>
              <w:rPr>
                <w:sz w:val="18"/>
                <w:szCs w:val="18"/>
              </w:rPr>
            </w:pPr>
            <w:r w:rsidRPr="00210024">
              <w:rPr>
                <w:sz w:val="18"/>
                <w:szCs w:val="18"/>
              </w:rPr>
              <w:t>1,164.5</w:t>
            </w:r>
          </w:p>
        </w:tc>
      </w:tr>
      <w:tr w:rsidR="008801E1" w:rsidRPr="00210024" w:rsidTr="00CA1079">
        <w:trPr>
          <w:trHeight w:hRule="exact" w:val="534"/>
          <w:jc w:val="center"/>
        </w:trPr>
        <w:tc>
          <w:tcPr>
            <w:tcW w:w="2437" w:type="dxa"/>
          </w:tcPr>
          <w:p w:rsidR="008801E1" w:rsidRPr="00210024" w:rsidRDefault="008801E1" w:rsidP="007A7FF4">
            <w:pPr>
              <w:pStyle w:val="BodyText3"/>
              <w:spacing w:after="0"/>
              <w:jc w:val="both"/>
              <w:rPr>
                <w:sz w:val="18"/>
                <w:szCs w:val="18"/>
              </w:rPr>
            </w:pPr>
            <w:r w:rsidRPr="00210024">
              <w:rPr>
                <w:sz w:val="18"/>
                <w:szCs w:val="18"/>
              </w:rPr>
              <w:t>Percentage of change in per capita (Gaza Strip)</w:t>
            </w:r>
          </w:p>
        </w:tc>
        <w:tc>
          <w:tcPr>
            <w:tcW w:w="824" w:type="dxa"/>
          </w:tcPr>
          <w:p w:rsidR="008801E1" w:rsidRPr="00210024" w:rsidRDefault="008801E1" w:rsidP="009179FF">
            <w:pPr>
              <w:pStyle w:val="BodyText3"/>
              <w:spacing w:after="0"/>
              <w:jc w:val="right"/>
              <w:rPr>
                <w:sz w:val="18"/>
                <w:szCs w:val="18"/>
              </w:rPr>
            </w:pPr>
            <w:r w:rsidRPr="00210024">
              <w:rPr>
                <w:sz w:val="18"/>
                <w:szCs w:val="18"/>
              </w:rPr>
              <w:t>-</w:t>
            </w:r>
          </w:p>
        </w:tc>
        <w:tc>
          <w:tcPr>
            <w:tcW w:w="814" w:type="dxa"/>
          </w:tcPr>
          <w:p w:rsidR="008801E1" w:rsidRPr="00210024" w:rsidRDefault="008801E1" w:rsidP="009179FF">
            <w:pPr>
              <w:pStyle w:val="BodyText3"/>
              <w:spacing w:after="0"/>
              <w:jc w:val="right"/>
              <w:rPr>
                <w:sz w:val="18"/>
                <w:szCs w:val="18"/>
              </w:rPr>
            </w:pPr>
            <w:r w:rsidRPr="00210024">
              <w:rPr>
                <w:sz w:val="18"/>
                <w:szCs w:val="18"/>
              </w:rPr>
              <w:t>17.0</w:t>
            </w:r>
          </w:p>
        </w:tc>
        <w:tc>
          <w:tcPr>
            <w:tcW w:w="820" w:type="dxa"/>
          </w:tcPr>
          <w:p w:rsidR="008801E1" w:rsidRPr="00210024" w:rsidRDefault="008801E1" w:rsidP="009179FF">
            <w:pPr>
              <w:pStyle w:val="BodyText3"/>
              <w:spacing w:after="0"/>
              <w:jc w:val="right"/>
              <w:rPr>
                <w:sz w:val="18"/>
                <w:szCs w:val="18"/>
              </w:rPr>
            </w:pPr>
            <w:r w:rsidRPr="00210024">
              <w:rPr>
                <w:sz w:val="18"/>
                <w:szCs w:val="18"/>
              </w:rPr>
              <w:t>-22.8</w:t>
            </w:r>
          </w:p>
        </w:tc>
        <w:tc>
          <w:tcPr>
            <w:tcW w:w="814" w:type="dxa"/>
          </w:tcPr>
          <w:p w:rsidR="008801E1" w:rsidRPr="00210024" w:rsidRDefault="008801E1" w:rsidP="009179FF">
            <w:pPr>
              <w:pStyle w:val="BodyText3"/>
              <w:spacing w:after="0"/>
              <w:jc w:val="right"/>
              <w:rPr>
                <w:sz w:val="18"/>
                <w:szCs w:val="18"/>
              </w:rPr>
            </w:pPr>
            <w:r w:rsidRPr="00210024">
              <w:rPr>
                <w:sz w:val="18"/>
                <w:szCs w:val="18"/>
              </w:rPr>
              <w:t>-11.1</w:t>
            </w:r>
          </w:p>
        </w:tc>
        <w:tc>
          <w:tcPr>
            <w:tcW w:w="978" w:type="dxa"/>
          </w:tcPr>
          <w:p w:rsidR="008801E1" w:rsidRPr="00210024" w:rsidRDefault="008801E1" w:rsidP="009179FF">
            <w:pPr>
              <w:pStyle w:val="BodyText3"/>
              <w:spacing w:after="0"/>
              <w:jc w:val="right"/>
              <w:rPr>
                <w:sz w:val="18"/>
                <w:szCs w:val="18"/>
              </w:rPr>
            </w:pPr>
            <w:r w:rsidRPr="00210024">
              <w:rPr>
                <w:sz w:val="18"/>
                <w:szCs w:val="18"/>
              </w:rPr>
              <w:t>--9.0</w:t>
            </w:r>
          </w:p>
        </w:tc>
        <w:tc>
          <w:tcPr>
            <w:tcW w:w="814" w:type="dxa"/>
          </w:tcPr>
          <w:p w:rsidR="008801E1" w:rsidRPr="00210024" w:rsidRDefault="008801E1" w:rsidP="009179FF">
            <w:pPr>
              <w:pStyle w:val="BodyText3"/>
              <w:spacing w:after="0"/>
              <w:jc w:val="right"/>
              <w:rPr>
                <w:sz w:val="18"/>
                <w:szCs w:val="18"/>
              </w:rPr>
            </w:pPr>
            <w:r w:rsidRPr="00210024">
              <w:rPr>
                <w:sz w:val="18"/>
                <w:szCs w:val="18"/>
              </w:rPr>
              <w:t>5.0</w:t>
            </w:r>
          </w:p>
        </w:tc>
        <w:tc>
          <w:tcPr>
            <w:tcW w:w="890" w:type="dxa"/>
          </w:tcPr>
          <w:p w:rsidR="008801E1" w:rsidRPr="00210024" w:rsidRDefault="008801E1" w:rsidP="009179FF">
            <w:pPr>
              <w:pStyle w:val="BodyText3"/>
              <w:spacing w:after="0"/>
              <w:jc w:val="right"/>
              <w:rPr>
                <w:sz w:val="18"/>
                <w:szCs w:val="18"/>
              </w:rPr>
            </w:pPr>
            <w:r w:rsidRPr="00210024">
              <w:rPr>
                <w:sz w:val="18"/>
                <w:szCs w:val="18"/>
              </w:rPr>
              <w:t>15.7</w:t>
            </w:r>
          </w:p>
        </w:tc>
        <w:tc>
          <w:tcPr>
            <w:tcW w:w="1053" w:type="dxa"/>
          </w:tcPr>
          <w:p w:rsidR="008801E1" w:rsidRPr="00210024" w:rsidRDefault="008801E1" w:rsidP="009179FF">
            <w:pPr>
              <w:pStyle w:val="BodyText3"/>
              <w:spacing w:after="0"/>
              <w:jc w:val="right"/>
              <w:rPr>
                <w:sz w:val="18"/>
                <w:szCs w:val="18"/>
              </w:rPr>
            </w:pPr>
            <w:r w:rsidRPr="00210024">
              <w:rPr>
                <w:sz w:val="18"/>
                <w:szCs w:val="18"/>
              </w:rPr>
              <w:t>18.8</w:t>
            </w:r>
          </w:p>
        </w:tc>
      </w:tr>
    </w:tbl>
    <w:p w:rsidR="007A7FF4" w:rsidRPr="00210024" w:rsidRDefault="007A7FF4" w:rsidP="007A7FF4">
      <w:pPr>
        <w:spacing w:after="0"/>
        <w:jc w:val="both"/>
        <w:rPr>
          <w:rFonts w:ascii="Times New Roman" w:hAnsi="Times New Roman" w:cs="Times New Roman"/>
          <w:sz w:val="24"/>
          <w:szCs w:val="24"/>
        </w:rPr>
      </w:pPr>
    </w:p>
    <w:p w:rsidR="003A5405" w:rsidRPr="00210024" w:rsidRDefault="00E96412" w:rsidP="007A7FF4">
      <w:pPr>
        <w:spacing w:after="0"/>
        <w:jc w:val="both"/>
        <w:rPr>
          <w:rFonts w:ascii="Times New Roman" w:hAnsi="Times New Roman" w:cs="Times New Roman"/>
          <w:b/>
          <w:bCs/>
          <w:sz w:val="24"/>
          <w:szCs w:val="24"/>
        </w:rPr>
      </w:pPr>
      <w:r w:rsidRPr="00210024">
        <w:rPr>
          <w:rFonts w:ascii="Times New Roman" w:hAnsi="Times New Roman" w:cs="Times New Roman"/>
          <w:sz w:val="24"/>
          <w:szCs w:val="24"/>
        </w:rPr>
        <w:t>Despite high growth rate in</w:t>
      </w:r>
      <w:r w:rsidR="008D344E" w:rsidRPr="00210024">
        <w:rPr>
          <w:rFonts w:ascii="Times New Roman" w:hAnsi="Times New Roman" w:cs="Times New Roman"/>
          <w:sz w:val="24"/>
          <w:szCs w:val="24"/>
        </w:rPr>
        <w:t xml:space="preserve"> Gaza Strip during the last two </w:t>
      </w:r>
      <w:r w:rsidRPr="00210024">
        <w:rPr>
          <w:rFonts w:ascii="Times New Roman" w:hAnsi="Times New Roman" w:cs="Times New Roman"/>
          <w:sz w:val="24"/>
          <w:szCs w:val="24"/>
        </w:rPr>
        <w:t>years</w:t>
      </w:r>
      <w:r w:rsidR="008D344E" w:rsidRPr="00210024">
        <w:rPr>
          <w:rFonts w:ascii="Times New Roman" w:hAnsi="Times New Roman" w:cs="Times New Roman"/>
          <w:sz w:val="24"/>
          <w:szCs w:val="24"/>
        </w:rPr>
        <w:t xml:space="preserve">, </w:t>
      </w:r>
      <w:r w:rsidRPr="00210024">
        <w:rPr>
          <w:rFonts w:ascii="Times New Roman" w:hAnsi="Times New Roman" w:cs="Times New Roman"/>
          <w:sz w:val="24"/>
          <w:szCs w:val="24"/>
        </w:rPr>
        <w:t xml:space="preserve">GDP Per capita in </w:t>
      </w:r>
      <w:r w:rsidR="008D344E" w:rsidRPr="00210024">
        <w:rPr>
          <w:rFonts w:ascii="Times New Roman" w:hAnsi="Times New Roman" w:cs="Times New Roman"/>
          <w:sz w:val="24"/>
          <w:szCs w:val="24"/>
        </w:rPr>
        <w:t>Gaza Strip</w:t>
      </w:r>
      <w:r w:rsidRPr="00210024">
        <w:rPr>
          <w:rFonts w:ascii="Times New Roman" w:hAnsi="Times New Roman" w:cs="Times New Roman"/>
          <w:sz w:val="24"/>
          <w:szCs w:val="24"/>
        </w:rPr>
        <w:t xml:space="preserve"> remained</w:t>
      </w:r>
      <w:r w:rsidR="008D344E" w:rsidRPr="00210024">
        <w:rPr>
          <w:rFonts w:ascii="Times New Roman" w:hAnsi="Times New Roman" w:cs="Times New Roman"/>
          <w:sz w:val="24"/>
          <w:szCs w:val="24"/>
        </w:rPr>
        <w:t xml:space="preserve"> less than</w:t>
      </w:r>
      <w:r w:rsidRPr="00210024">
        <w:rPr>
          <w:rFonts w:ascii="Times New Roman" w:hAnsi="Times New Roman" w:cs="Times New Roman"/>
          <w:sz w:val="24"/>
          <w:szCs w:val="24"/>
        </w:rPr>
        <w:t xml:space="preserve"> that in</w:t>
      </w:r>
      <w:r w:rsidR="008D344E" w:rsidRPr="00210024">
        <w:rPr>
          <w:rFonts w:ascii="Times New Roman" w:hAnsi="Times New Roman" w:cs="Times New Roman"/>
          <w:sz w:val="24"/>
          <w:szCs w:val="24"/>
        </w:rPr>
        <w:t xml:space="preserve"> West Bank. As shown in (Table 1), the </w:t>
      </w:r>
      <w:r w:rsidRPr="00210024">
        <w:rPr>
          <w:rFonts w:ascii="Times New Roman" w:hAnsi="Times New Roman" w:cs="Times New Roman"/>
          <w:sz w:val="24"/>
          <w:szCs w:val="24"/>
        </w:rPr>
        <w:t xml:space="preserve">GDP </w:t>
      </w:r>
      <w:r w:rsidR="008D344E" w:rsidRPr="00210024">
        <w:rPr>
          <w:rFonts w:ascii="Times New Roman" w:hAnsi="Times New Roman" w:cs="Times New Roman"/>
          <w:sz w:val="24"/>
          <w:szCs w:val="24"/>
        </w:rPr>
        <w:t xml:space="preserve">per capita </w:t>
      </w:r>
      <w:r w:rsidRPr="00210024">
        <w:rPr>
          <w:rFonts w:ascii="Times New Roman" w:hAnsi="Times New Roman" w:cs="Times New Roman"/>
          <w:sz w:val="24"/>
          <w:szCs w:val="24"/>
        </w:rPr>
        <w:t>in</w:t>
      </w:r>
      <w:r w:rsidR="008D344E" w:rsidRPr="00210024">
        <w:rPr>
          <w:rFonts w:ascii="Times New Roman" w:hAnsi="Times New Roman" w:cs="Times New Roman"/>
          <w:sz w:val="24"/>
          <w:szCs w:val="24"/>
        </w:rPr>
        <w:t xml:space="preserve"> Gaza </w:t>
      </w:r>
      <w:r w:rsidR="00066501" w:rsidRPr="00210024">
        <w:rPr>
          <w:rFonts w:ascii="Times New Roman" w:hAnsi="Times New Roman" w:cs="Times New Roman"/>
          <w:sz w:val="24"/>
          <w:szCs w:val="24"/>
        </w:rPr>
        <w:t>Strip reached</w:t>
      </w:r>
      <w:r w:rsidRPr="00210024">
        <w:rPr>
          <w:rFonts w:ascii="Times New Roman" w:hAnsi="Times New Roman" w:cs="Times New Roman"/>
          <w:sz w:val="24"/>
          <w:szCs w:val="24"/>
        </w:rPr>
        <w:t xml:space="preserve"> </w:t>
      </w:r>
      <w:r w:rsidR="000E0C2C">
        <w:rPr>
          <w:rFonts w:ascii="Times New Roman" w:hAnsi="Times New Roman" w:cs="Times New Roman"/>
          <w:sz w:val="24"/>
          <w:szCs w:val="24"/>
        </w:rPr>
        <w:t>USD</w:t>
      </w:r>
      <w:r w:rsidRPr="00210024">
        <w:rPr>
          <w:rFonts w:ascii="Times New Roman" w:hAnsi="Times New Roman" w:cs="Times New Roman"/>
          <w:sz w:val="24"/>
          <w:szCs w:val="24"/>
        </w:rPr>
        <w:t xml:space="preserve"> </w:t>
      </w:r>
      <w:r w:rsidR="00066501" w:rsidRPr="00210024">
        <w:rPr>
          <w:rFonts w:ascii="Times New Roman" w:hAnsi="Times New Roman" w:cs="Times New Roman"/>
          <w:sz w:val="24"/>
          <w:szCs w:val="24"/>
        </w:rPr>
        <w:t>1,164.5 in</w:t>
      </w:r>
      <w:r w:rsidR="008D344E" w:rsidRPr="00210024">
        <w:rPr>
          <w:rFonts w:ascii="Times New Roman" w:hAnsi="Times New Roman" w:cs="Times New Roman"/>
          <w:sz w:val="24"/>
          <w:szCs w:val="24"/>
        </w:rPr>
        <w:t xml:space="preserve"> 20</w:t>
      </w:r>
      <w:r w:rsidRPr="00210024">
        <w:rPr>
          <w:rFonts w:ascii="Times New Roman" w:hAnsi="Times New Roman" w:cs="Times New Roman"/>
          <w:sz w:val="24"/>
          <w:szCs w:val="24"/>
        </w:rPr>
        <w:t xml:space="preserve">11 compared with </w:t>
      </w:r>
      <w:r w:rsidR="000E0C2C">
        <w:rPr>
          <w:rFonts w:ascii="Times New Roman" w:hAnsi="Times New Roman" w:cs="Times New Roman"/>
          <w:sz w:val="24"/>
          <w:szCs w:val="24"/>
        </w:rPr>
        <w:t>USD</w:t>
      </w:r>
      <w:r w:rsidRPr="00210024">
        <w:rPr>
          <w:rFonts w:ascii="Times New Roman" w:hAnsi="Times New Roman" w:cs="Times New Roman"/>
          <w:sz w:val="24"/>
          <w:szCs w:val="24"/>
        </w:rPr>
        <w:t xml:space="preserve"> 1,912.1 in</w:t>
      </w:r>
      <w:r w:rsidR="008D344E" w:rsidRPr="00210024">
        <w:rPr>
          <w:rFonts w:ascii="Times New Roman" w:hAnsi="Times New Roman" w:cs="Times New Roman"/>
          <w:sz w:val="24"/>
          <w:szCs w:val="24"/>
        </w:rPr>
        <w:t xml:space="preserve"> West Bank in 2011</w:t>
      </w:r>
      <w:r w:rsidR="00066501" w:rsidRPr="00210024">
        <w:rPr>
          <w:rFonts w:ascii="Times New Roman" w:hAnsi="Times New Roman" w:cs="Times New Roman"/>
          <w:sz w:val="24"/>
          <w:szCs w:val="24"/>
        </w:rPr>
        <w:t xml:space="preserve">. This </w:t>
      </w:r>
      <w:r w:rsidR="00066501" w:rsidRPr="00210024">
        <w:rPr>
          <w:rFonts w:ascii="Times New Roman" w:hAnsi="Times New Roman" w:cs="Times New Roman"/>
          <w:sz w:val="24"/>
          <w:szCs w:val="24"/>
        </w:rPr>
        <w:lastRenderedPageBreak/>
        <w:t>means</w:t>
      </w:r>
      <w:r w:rsidR="008D344E" w:rsidRPr="00210024">
        <w:rPr>
          <w:rFonts w:ascii="Times New Roman" w:hAnsi="Times New Roman" w:cs="Times New Roman"/>
          <w:sz w:val="24"/>
          <w:szCs w:val="24"/>
        </w:rPr>
        <w:t xml:space="preserve"> that </w:t>
      </w:r>
      <w:r w:rsidR="00066501" w:rsidRPr="00210024">
        <w:rPr>
          <w:rFonts w:ascii="Times New Roman" w:hAnsi="Times New Roman" w:cs="Times New Roman"/>
          <w:sz w:val="24"/>
          <w:szCs w:val="24"/>
        </w:rPr>
        <w:t xml:space="preserve">GDP </w:t>
      </w:r>
      <w:r w:rsidR="008D344E" w:rsidRPr="00210024">
        <w:rPr>
          <w:rFonts w:ascii="Times New Roman" w:hAnsi="Times New Roman" w:cs="Times New Roman"/>
          <w:sz w:val="24"/>
          <w:szCs w:val="24"/>
        </w:rPr>
        <w:t xml:space="preserve">per capita </w:t>
      </w:r>
      <w:r w:rsidR="00066501" w:rsidRPr="00210024">
        <w:rPr>
          <w:rFonts w:ascii="Times New Roman" w:hAnsi="Times New Roman" w:cs="Times New Roman"/>
          <w:sz w:val="24"/>
          <w:szCs w:val="24"/>
        </w:rPr>
        <w:t xml:space="preserve">in West Bank </w:t>
      </w:r>
      <w:r w:rsidR="008D344E" w:rsidRPr="00210024">
        <w:rPr>
          <w:rFonts w:ascii="Times New Roman" w:hAnsi="Times New Roman" w:cs="Times New Roman"/>
          <w:sz w:val="24"/>
          <w:szCs w:val="24"/>
        </w:rPr>
        <w:t>equal</w:t>
      </w:r>
      <w:r w:rsidR="00066501" w:rsidRPr="00210024">
        <w:rPr>
          <w:rFonts w:ascii="Times New Roman" w:hAnsi="Times New Roman" w:cs="Times New Roman"/>
          <w:sz w:val="24"/>
          <w:szCs w:val="24"/>
        </w:rPr>
        <w:t>s</w:t>
      </w:r>
      <w:r w:rsidR="008D344E" w:rsidRPr="00210024">
        <w:rPr>
          <w:rFonts w:ascii="Times New Roman" w:hAnsi="Times New Roman" w:cs="Times New Roman"/>
          <w:sz w:val="24"/>
          <w:szCs w:val="24"/>
        </w:rPr>
        <w:t xml:space="preserve"> 1.7 times </w:t>
      </w:r>
      <w:r w:rsidR="00066501" w:rsidRPr="00210024">
        <w:rPr>
          <w:rFonts w:ascii="Times New Roman" w:hAnsi="Times New Roman" w:cs="Times New Roman"/>
          <w:sz w:val="24"/>
          <w:szCs w:val="24"/>
        </w:rPr>
        <w:t>of that in</w:t>
      </w:r>
      <w:r w:rsidR="008D344E" w:rsidRPr="00210024">
        <w:rPr>
          <w:rFonts w:ascii="Times New Roman" w:hAnsi="Times New Roman" w:cs="Times New Roman"/>
          <w:sz w:val="24"/>
          <w:szCs w:val="24"/>
        </w:rPr>
        <w:t xml:space="preserve"> Gaza </w:t>
      </w:r>
      <w:r w:rsidR="007A1F08" w:rsidRPr="00210024">
        <w:rPr>
          <w:rFonts w:ascii="Times New Roman" w:hAnsi="Times New Roman" w:cs="Times New Roman"/>
          <w:sz w:val="24"/>
          <w:szCs w:val="24"/>
        </w:rPr>
        <w:t xml:space="preserve">Strip. </w:t>
      </w:r>
      <w:r w:rsidR="008D344E" w:rsidRPr="00210024">
        <w:rPr>
          <w:rFonts w:ascii="Times New Roman" w:hAnsi="Times New Roman" w:cs="Times New Roman"/>
          <w:sz w:val="24"/>
          <w:szCs w:val="24"/>
        </w:rPr>
        <w:t>This is due to</w:t>
      </w:r>
      <w:r w:rsidR="003602C1" w:rsidRPr="00210024">
        <w:rPr>
          <w:rFonts w:ascii="Times New Roman" w:hAnsi="Times New Roman" w:cs="Times New Roman"/>
          <w:sz w:val="24"/>
          <w:szCs w:val="24"/>
        </w:rPr>
        <w:t xml:space="preserve"> high growth rates </w:t>
      </w:r>
      <w:r w:rsidR="00691B2E" w:rsidRPr="00210024">
        <w:rPr>
          <w:rFonts w:ascii="Times New Roman" w:hAnsi="Times New Roman" w:cs="Times New Roman"/>
          <w:sz w:val="24"/>
          <w:szCs w:val="24"/>
        </w:rPr>
        <w:t>in West</w:t>
      </w:r>
      <w:r w:rsidR="003602C1" w:rsidRPr="00210024">
        <w:rPr>
          <w:rFonts w:ascii="Times New Roman" w:hAnsi="Times New Roman" w:cs="Times New Roman"/>
          <w:sz w:val="24"/>
          <w:szCs w:val="24"/>
        </w:rPr>
        <w:t xml:space="preserve"> Bank during past years compared with</w:t>
      </w:r>
      <w:r w:rsidR="008D344E" w:rsidRPr="00210024">
        <w:rPr>
          <w:rFonts w:ascii="Times New Roman" w:hAnsi="Times New Roman" w:cs="Times New Roman"/>
          <w:sz w:val="24"/>
          <w:szCs w:val="24"/>
        </w:rPr>
        <w:t xml:space="preserve"> Gaza Strip</w:t>
      </w:r>
      <w:r w:rsidR="00BB69B4" w:rsidRPr="00210024">
        <w:rPr>
          <w:rFonts w:ascii="Times New Roman" w:hAnsi="Times New Roman" w:cs="Times New Roman"/>
          <w:sz w:val="24"/>
          <w:szCs w:val="24"/>
        </w:rPr>
        <w:t>.</w:t>
      </w:r>
    </w:p>
    <w:p w:rsidR="003134F1" w:rsidRPr="00210024" w:rsidRDefault="003134F1" w:rsidP="007A7FF4">
      <w:pPr>
        <w:spacing w:after="0"/>
        <w:jc w:val="both"/>
        <w:rPr>
          <w:rFonts w:ascii="Times New Roman" w:hAnsi="Times New Roman" w:cs="Times New Roman"/>
          <w:b/>
          <w:bCs/>
          <w:sz w:val="24"/>
          <w:szCs w:val="24"/>
        </w:rPr>
      </w:pPr>
    </w:p>
    <w:p w:rsidR="00391DF7" w:rsidRPr="00210024" w:rsidRDefault="00BB69B4" w:rsidP="0046649B">
      <w:pPr>
        <w:spacing w:after="0"/>
        <w:jc w:val="center"/>
        <w:rPr>
          <w:rFonts w:ascii="Times New Roman" w:hAnsi="Times New Roman" w:cs="Times New Roman"/>
          <w:sz w:val="24"/>
          <w:szCs w:val="24"/>
        </w:rPr>
      </w:pPr>
      <w:r w:rsidRPr="00210024">
        <w:rPr>
          <w:rFonts w:ascii="Times New Roman" w:hAnsi="Times New Roman" w:cs="Times New Roman"/>
          <w:b/>
          <w:bCs/>
        </w:rPr>
        <w:t>Figure</w:t>
      </w:r>
      <w:r w:rsidR="00DA653C">
        <w:rPr>
          <w:rFonts w:ascii="Times New Roman" w:hAnsi="Times New Roman" w:cs="Times New Roman"/>
          <w:b/>
          <w:bCs/>
        </w:rPr>
        <w:t xml:space="preserve"> </w:t>
      </w:r>
      <w:r w:rsidR="00081778" w:rsidRPr="00210024">
        <w:rPr>
          <w:rFonts w:ascii="Times New Roman" w:hAnsi="Times New Roman" w:cs="Times New Roman"/>
          <w:b/>
          <w:bCs/>
        </w:rPr>
        <w:t>2</w:t>
      </w:r>
      <w:r w:rsidR="008D344E" w:rsidRPr="00210024">
        <w:rPr>
          <w:rFonts w:ascii="Times New Roman" w:hAnsi="Times New Roman" w:cs="Times New Roman"/>
          <w:b/>
          <w:bCs/>
        </w:rPr>
        <w:t xml:space="preserve">: </w:t>
      </w:r>
      <w:r w:rsidRPr="00210024">
        <w:rPr>
          <w:rFonts w:ascii="Times New Roman" w:hAnsi="Times New Roman" w:cs="Times New Roman"/>
          <w:b/>
          <w:bCs/>
        </w:rPr>
        <w:t xml:space="preserve">GDP </w:t>
      </w:r>
      <w:r w:rsidR="008D344E" w:rsidRPr="00210024">
        <w:rPr>
          <w:rFonts w:ascii="Times New Roman" w:hAnsi="Times New Roman" w:cs="Times New Roman"/>
          <w:b/>
          <w:bCs/>
        </w:rPr>
        <w:t xml:space="preserve">per capita in </w:t>
      </w:r>
      <w:r w:rsidR="000E0C2C">
        <w:rPr>
          <w:rFonts w:ascii="Times New Roman" w:hAnsi="Times New Roman" w:cs="Times New Roman"/>
          <w:b/>
          <w:bCs/>
        </w:rPr>
        <w:t>USD</w:t>
      </w:r>
      <w:r w:rsidR="009179BD" w:rsidRPr="009179BD">
        <w:rPr>
          <w:rFonts w:ascii="Times New Roman" w:hAnsi="Times New Roman" w:cs="Times New Roman"/>
          <w:b/>
          <w:bCs/>
        </w:rPr>
        <w:t xml:space="preserve"> </w:t>
      </w:r>
      <w:r w:rsidR="009179BD" w:rsidRPr="004E405F">
        <w:rPr>
          <w:rFonts w:ascii="Times New Roman" w:hAnsi="Times New Roman" w:cs="Times New Roman"/>
          <w:b/>
          <w:bCs/>
        </w:rPr>
        <w:t>in</w:t>
      </w:r>
      <w:r w:rsidR="009179BD">
        <w:rPr>
          <w:rFonts w:ascii="Times New Roman" w:hAnsi="Times New Roman" w:cs="Times New Roman"/>
          <w:b/>
          <w:bCs/>
        </w:rPr>
        <w:t xml:space="preserve"> the</w:t>
      </w:r>
      <w:r w:rsidR="009179BD" w:rsidRPr="004E405F">
        <w:rPr>
          <w:rFonts w:ascii="Times New Roman" w:hAnsi="Times New Roman" w:cs="Times New Roman"/>
          <w:b/>
          <w:bCs/>
        </w:rPr>
        <w:t xml:space="preserve"> Palestinian </w:t>
      </w:r>
      <w:r w:rsidR="009179BD">
        <w:rPr>
          <w:rFonts w:ascii="Times New Roman" w:hAnsi="Times New Roman" w:cs="Times New Roman"/>
          <w:b/>
          <w:bCs/>
        </w:rPr>
        <w:t>Territory,</w:t>
      </w:r>
      <w:r w:rsidRPr="00210024">
        <w:rPr>
          <w:rFonts w:ascii="Times New Roman" w:hAnsi="Times New Roman" w:cs="Times New Roman"/>
          <w:b/>
          <w:bCs/>
        </w:rPr>
        <w:t xml:space="preserve"> </w:t>
      </w:r>
      <w:r w:rsidR="008D344E" w:rsidRPr="00210024">
        <w:rPr>
          <w:rFonts w:ascii="Times New Roman" w:hAnsi="Times New Roman" w:cs="Times New Roman"/>
          <w:b/>
          <w:bCs/>
        </w:rPr>
        <w:t>(2004-2011)</w:t>
      </w:r>
      <w:r w:rsidR="00FA5DCA" w:rsidRPr="00210024">
        <w:rPr>
          <w:rFonts w:ascii="Times New Roman" w:hAnsi="Times New Roman" w:cs="Times New Roman"/>
          <w:sz w:val="24"/>
          <w:szCs w:val="24"/>
        </w:rPr>
        <w:br/>
        <w:t> </w:t>
      </w:r>
      <w:r w:rsidR="00391DF7" w:rsidRPr="00210024">
        <w:rPr>
          <w:rFonts w:ascii="Times New Roman" w:hAnsi="Times New Roman" w:cs="Times New Roman"/>
          <w:noProof/>
          <w:sz w:val="24"/>
          <w:szCs w:val="24"/>
        </w:rPr>
        <w:drawing>
          <wp:inline distT="0" distB="0" distL="0" distR="0">
            <wp:extent cx="4991100" cy="2286000"/>
            <wp:effectExtent l="19050" t="0" r="1905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FA5DCA" w:rsidRPr="00210024">
        <w:rPr>
          <w:rFonts w:ascii="Times New Roman" w:hAnsi="Times New Roman" w:cs="Times New Roman"/>
          <w:sz w:val="24"/>
          <w:szCs w:val="24"/>
        </w:rPr>
        <w:t xml:space="preserve">  </w:t>
      </w:r>
      <w:r w:rsidR="008D344E" w:rsidRPr="00210024">
        <w:rPr>
          <w:rFonts w:ascii="Times New Roman" w:hAnsi="Times New Roman" w:cs="Times New Roman"/>
          <w:sz w:val="24"/>
          <w:szCs w:val="24"/>
        </w:rPr>
        <w:br/>
      </w:r>
    </w:p>
    <w:p w:rsidR="008801E1" w:rsidRPr="00210024" w:rsidRDefault="00391DF7" w:rsidP="007A7FF4">
      <w:pPr>
        <w:spacing w:after="0"/>
        <w:jc w:val="both"/>
        <w:rPr>
          <w:rFonts w:ascii="Times New Roman" w:hAnsi="Times New Roman" w:cs="Times New Roman"/>
          <w:sz w:val="24"/>
          <w:szCs w:val="24"/>
        </w:rPr>
      </w:pPr>
      <w:r w:rsidRPr="009274F8">
        <w:rPr>
          <w:rFonts w:ascii="Times New Roman" w:hAnsi="Times New Roman" w:cs="Times New Roman"/>
          <w:b/>
          <w:bCs/>
          <w:sz w:val="24"/>
          <w:szCs w:val="24"/>
        </w:rPr>
        <w:t xml:space="preserve">Palestinian </w:t>
      </w:r>
      <w:r w:rsidR="002C7C30">
        <w:rPr>
          <w:rFonts w:ascii="Times New Roman" w:hAnsi="Times New Roman" w:cs="Times New Roman"/>
          <w:b/>
          <w:bCs/>
          <w:sz w:val="24"/>
          <w:szCs w:val="24"/>
        </w:rPr>
        <w:t>Territory</w:t>
      </w:r>
      <w:r w:rsidRPr="009274F8">
        <w:rPr>
          <w:rFonts w:ascii="Times New Roman" w:hAnsi="Times New Roman" w:cs="Times New Roman"/>
          <w:b/>
          <w:bCs/>
          <w:sz w:val="24"/>
          <w:szCs w:val="24"/>
        </w:rPr>
        <w:t xml:space="preserve"> </w:t>
      </w:r>
      <w:r w:rsidR="00BE0DD1" w:rsidRPr="009274F8">
        <w:rPr>
          <w:rFonts w:ascii="Times New Roman" w:hAnsi="Times New Roman" w:cs="Times New Roman"/>
          <w:b/>
          <w:bCs/>
          <w:sz w:val="24"/>
          <w:szCs w:val="24"/>
        </w:rPr>
        <w:t xml:space="preserve">has </w:t>
      </w:r>
      <w:r w:rsidRPr="009274F8">
        <w:rPr>
          <w:rFonts w:ascii="Times New Roman" w:hAnsi="Times New Roman" w:cs="Times New Roman"/>
          <w:b/>
          <w:bCs/>
          <w:sz w:val="24"/>
          <w:szCs w:val="24"/>
        </w:rPr>
        <w:t>witnessed</w:t>
      </w:r>
      <w:r w:rsidR="008D344E" w:rsidRPr="009274F8">
        <w:rPr>
          <w:rFonts w:ascii="Times New Roman" w:hAnsi="Times New Roman" w:cs="Times New Roman"/>
          <w:b/>
          <w:bCs/>
          <w:sz w:val="24"/>
          <w:szCs w:val="24"/>
        </w:rPr>
        <w:t xml:space="preserve"> </w:t>
      </w:r>
      <w:r w:rsidR="00BE0DD1" w:rsidRPr="009274F8">
        <w:rPr>
          <w:rFonts w:ascii="Times New Roman" w:hAnsi="Times New Roman" w:cs="Times New Roman"/>
          <w:b/>
          <w:bCs/>
          <w:sz w:val="24"/>
          <w:szCs w:val="24"/>
        </w:rPr>
        <w:t xml:space="preserve">a </w:t>
      </w:r>
      <w:r w:rsidR="008D344E" w:rsidRPr="009274F8">
        <w:rPr>
          <w:rFonts w:ascii="Times New Roman" w:hAnsi="Times New Roman" w:cs="Times New Roman"/>
          <w:b/>
          <w:bCs/>
          <w:sz w:val="24"/>
          <w:szCs w:val="24"/>
        </w:rPr>
        <w:t>growth in all</w:t>
      </w:r>
      <w:r w:rsidR="00BE0DD1" w:rsidRPr="009274F8">
        <w:rPr>
          <w:rFonts w:ascii="Times New Roman" w:hAnsi="Times New Roman" w:cs="Times New Roman"/>
          <w:b/>
          <w:bCs/>
          <w:sz w:val="24"/>
          <w:szCs w:val="24"/>
        </w:rPr>
        <w:t xml:space="preserve"> economic activities during the </w:t>
      </w:r>
      <w:r w:rsidR="008D344E" w:rsidRPr="009274F8">
        <w:rPr>
          <w:rFonts w:ascii="Times New Roman" w:hAnsi="Times New Roman" w:cs="Times New Roman"/>
          <w:b/>
          <w:bCs/>
          <w:sz w:val="24"/>
          <w:szCs w:val="24"/>
        </w:rPr>
        <w:t xml:space="preserve">year </w:t>
      </w:r>
      <w:r w:rsidRPr="009274F8">
        <w:rPr>
          <w:rFonts w:ascii="Times New Roman" w:hAnsi="Times New Roman" w:cs="Times New Roman"/>
          <w:b/>
          <w:bCs/>
          <w:sz w:val="24"/>
          <w:szCs w:val="24"/>
        </w:rPr>
        <w:t xml:space="preserve">of </w:t>
      </w:r>
      <w:r w:rsidR="00BE0DD1" w:rsidRPr="009274F8">
        <w:rPr>
          <w:rFonts w:ascii="Times New Roman" w:hAnsi="Times New Roman" w:cs="Times New Roman"/>
          <w:b/>
          <w:bCs/>
          <w:sz w:val="24"/>
          <w:szCs w:val="24"/>
        </w:rPr>
        <w:t>2011;</w:t>
      </w:r>
      <w:r w:rsidR="008D344E" w:rsidRPr="009274F8">
        <w:rPr>
          <w:rFonts w:ascii="Times New Roman" w:hAnsi="Times New Roman" w:cs="Times New Roman"/>
          <w:b/>
          <w:bCs/>
          <w:sz w:val="24"/>
          <w:szCs w:val="24"/>
        </w:rPr>
        <w:t xml:space="preserve"> </w:t>
      </w:r>
      <w:r w:rsidRPr="009274F8">
        <w:rPr>
          <w:rFonts w:ascii="Times New Roman" w:hAnsi="Times New Roman" w:cs="Times New Roman"/>
          <w:b/>
          <w:bCs/>
          <w:sz w:val="24"/>
          <w:szCs w:val="24"/>
        </w:rPr>
        <w:t xml:space="preserve">this growth </w:t>
      </w:r>
      <w:r w:rsidR="00BE0DD1" w:rsidRPr="009274F8">
        <w:rPr>
          <w:rFonts w:ascii="Times New Roman" w:hAnsi="Times New Roman" w:cs="Times New Roman"/>
          <w:b/>
          <w:bCs/>
          <w:sz w:val="24"/>
          <w:szCs w:val="24"/>
        </w:rPr>
        <w:t xml:space="preserve">has </w:t>
      </w:r>
      <w:r w:rsidRPr="009274F8">
        <w:rPr>
          <w:rFonts w:ascii="Times New Roman" w:hAnsi="Times New Roman" w:cs="Times New Roman"/>
          <w:b/>
          <w:bCs/>
          <w:sz w:val="24"/>
          <w:szCs w:val="24"/>
        </w:rPr>
        <w:t>concentrated in</w:t>
      </w:r>
      <w:r w:rsidR="008D344E" w:rsidRPr="009274F8">
        <w:rPr>
          <w:rFonts w:ascii="Times New Roman" w:hAnsi="Times New Roman" w:cs="Times New Roman"/>
          <w:b/>
          <w:bCs/>
          <w:sz w:val="24"/>
          <w:szCs w:val="24"/>
        </w:rPr>
        <w:t xml:space="preserve"> main economic activities </w:t>
      </w:r>
      <w:r w:rsidR="00BE0DD1" w:rsidRPr="009274F8">
        <w:rPr>
          <w:rFonts w:ascii="Times New Roman" w:hAnsi="Times New Roman" w:cs="Times New Roman"/>
          <w:b/>
          <w:bCs/>
          <w:sz w:val="24"/>
          <w:szCs w:val="24"/>
        </w:rPr>
        <w:t>of</w:t>
      </w:r>
      <w:r w:rsidR="008D344E" w:rsidRPr="009274F8">
        <w:rPr>
          <w:rFonts w:ascii="Times New Roman" w:hAnsi="Times New Roman" w:cs="Times New Roman"/>
          <w:b/>
          <w:bCs/>
          <w:sz w:val="24"/>
          <w:szCs w:val="24"/>
        </w:rPr>
        <w:t xml:space="preserve"> relatively higher contribution </w:t>
      </w:r>
      <w:r w:rsidR="00BE0DD1" w:rsidRPr="009274F8">
        <w:rPr>
          <w:rFonts w:ascii="Times New Roman" w:hAnsi="Times New Roman" w:cs="Times New Roman"/>
          <w:b/>
          <w:bCs/>
          <w:sz w:val="24"/>
          <w:szCs w:val="24"/>
        </w:rPr>
        <w:t>in</w:t>
      </w:r>
      <w:r w:rsidR="008D344E" w:rsidRPr="009274F8">
        <w:rPr>
          <w:rFonts w:ascii="Times New Roman" w:hAnsi="Times New Roman" w:cs="Times New Roman"/>
          <w:b/>
          <w:bCs/>
          <w:sz w:val="24"/>
          <w:szCs w:val="24"/>
        </w:rPr>
        <w:t xml:space="preserve"> </w:t>
      </w:r>
      <w:r w:rsidR="00BE0DD1" w:rsidRPr="009274F8">
        <w:rPr>
          <w:rFonts w:ascii="Times New Roman" w:hAnsi="Times New Roman" w:cs="Times New Roman"/>
          <w:b/>
          <w:bCs/>
          <w:sz w:val="24"/>
          <w:szCs w:val="24"/>
        </w:rPr>
        <w:t>Gross Domestic P</w:t>
      </w:r>
      <w:r w:rsidR="008D344E" w:rsidRPr="009274F8">
        <w:rPr>
          <w:rFonts w:ascii="Times New Roman" w:hAnsi="Times New Roman" w:cs="Times New Roman"/>
          <w:b/>
          <w:bCs/>
          <w:sz w:val="24"/>
          <w:szCs w:val="24"/>
        </w:rPr>
        <w:t>roduct</w:t>
      </w:r>
      <w:r w:rsidR="00BE0DD1" w:rsidRPr="009274F8">
        <w:rPr>
          <w:rFonts w:ascii="Times New Roman" w:hAnsi="Times New Roman" w:cs="Times New Roman"/>
          <w:b/>
          <w:bCs/>
          <w:sz w:val="24"/>
          <w:szCs w:val="24"/>
        </w:rPr>
        <w:t xml:space="preserve"> (GDP).</w:t>
      </w:r>
      <w:r w:rsidR="008D344E" w:rsidRPr="00210024">
        <w:rPr>
          <w:rFonts w:ascii="Times New Roman" w:hAnsi="Times New Roman" w:cs="Times New Roman"/>
          <w:sz w:val="24"/>
          <w:szCs w:val="24"/>
        </w:rPr>
        <w:t xml:space="preserve"> Construction activity has recorded the highest growth rate in 2011</w:t>
      </w:r>
      <w:r w:rsidR="00BE0DD1" w:rsidRPr="00210024">
        <w:rPr>
          <w:rFonts w:ascii="Times New Roman" w:hAnsi="Times New Roman" w:cs="Times New Roman"/>
          <w:sz w:val="24"/>
          <w:szCs w:val="24"/>
        </w:rPr>
        <w:t xml:space="preserve"> as </w:t>
      </w:r>
      <w:r w:rsidR="00962EC8" w:rsidRPr="00210024">
        <w:rPr>
          <w:rFonts w:ascii="Times New Roman" w:hAnsi="Times New Roman" w:cs="Times New Roman"/>
          <w:sz w:val="24"/>
          <w:szCs w:val="24"/>
        </w:rPr>
        <w:t>reached at</w:t>
      </w:r>
      <w:r w:rsidR="00BE0DD1" w:rsidRPr="00210024">
        <w:rPr>
          <w:rFonts w:ascii="Times New Roman" w:hAnsi="Times New Roman" w:cs="Times New Roman"/>
          <w:sz w:val="24"/>
          <w:szCs w:val="24"/>
        </w:rPr>
        <w:t xml:space="preserve"> </w:t>
      </w:r>
      <w:r w:rsidR="008D344E" w:rsidRPr="00210024">
        <w:rPr>
          <w:rFonts w:ascii="Times New Roman" w:hAnsi="Times New Roman" w:cs="Times New Roman"/>
          <w:sz w:val="24"/>
          <w:szCs w:val="24"/>
        </w:rPr>
        <w:t xml:space="preserve">26.9%, followed by public administration and defense </w:t>
      </w:r>
      <w:r w:rsidR="00BE0DD1" w:rsidRPr="00210024">
        <w:rPr>
          <w:rFonts w:ascii="Times New Roman" w:hAnsi="Times New Roman" w:cs="Times New Roman"/>
          <w:sz w:val="24"/>
          <w:szCs w:val="24"/>
        </w:rPr>
        <w:t>at (13</w:t>
      </w:r>
      <w:r w:rsidR="0053226C">
        <w:rPr>
          <w:rFonts w:ascii="Times New Roman" w:hAnsi="Times New Roman" w:cs="Times New Roman"/>
          <w:sz w:val="24"/>
          <w:szCs w:val="24"/>
        </w:rPr>
        <w:t>.0</w:t>
      </w:r>
      <w:r w:rsidR="00BE0DD1" w:rsidRPr="00210024">
        <w:rPr>
          <w:rFonts w:ascii="Times New Roman" w:hAnsi="Times New Roman" w:cs="Times New Roman"/>
          <w:sz w:val="24"/>
          <w:szCs w:val="24"/>
        </w:rPr>
        <w:t>%),</w:t>
      </w:r>
      <w:r w:rsidR="008D344E" w:rsidRPr="00210024">
        <w:rPr>
          <w:rFonts w:ascii="Times New Roman" w:hAnsi="Times New Roman" w:cs="Times New Roman"/>
          <w:sz w:val="24"/>
          <w:szCs w:val="24"/>
        </w:rPr>
        <w:t xml:space="preserve"> transport and storage</w:t>
      </w:r>
      <w:r w:rsidR="00BE0DD1" w:rsidRPr="00210024">
        <w:rPr>
          <w:rFonts w:ascii="Times New Roman" w:hAnsi="Times New Roman" w:cs="Times New Roman"/>
          <w:sz w:val="24"/>
          <w:szCs w:val="24"/>
        </w:rPr>
        <w:t xml:space="preserve"> at </w:t>
      </w:r>
      <w:r w:rsidR="008D344E" w:rsidRPr="00210024">
        <w:rPr>
          <w:rFonts w:ascii="Times New Roman" w:hAnsi="Times New Roman" w:cs="Times New Roman"/>
          <w:sz w:val="24"/>
          <w:szCs w:val="24"/>
        </w:rPr>
        <w:t xml:space="preserve">(12.3%) and agriculture and fishing </w:t>
      </w:r>
      <w:r w:rsidR="00BE0DD1" w:rsidRPr="00210024">
        <w:rPr>
          <w:rFonts w:ascii="Times New Roman" w:hAnsi="Times New Roman" w:cs="Times New Roman"/>
          <w:sz w:val="24"/>
          <w:szCs w:val="24"/>
        </w:rPr>
        <w:t xml:space="preserve">at </w:t>
      </w:r>
      <w:r w:rsidR="008D344E" w:rsidRPr="00210024">
        <w:rPr>
          <w:rFonts w:ascii="Times New Roman" w:hAnsi="Times New Roman" w:cs="Times New Roman"/>
          <w:sz w:val="24"/>
          <w:szCs w:val="24"/>
        </w:rPr>
        <w:t>(9.9%).</w:t>
      </w:r>
    </w:p>
    <w:p w:rsidR="007A7FF4" w:rsidRPr="00210024" w:rsidRDefault="007A7FF4" w:rsidP="007A7FF4">
      <w:pPr>
        <w:spacing w:after="0"/>
        <w:jc w:val="both"/>
        <w:rPr>
          <w:rFonts w:ascii="Times New Roman" w:hAnsi="Times New Roman" w:cs="Times New Roman"/>
          <w:sz w:val="24"/>
          <w:szCs w:val="24"/>
        </w:rPr>
      </w:pPr>
    </w:p>
    <w:p w:rsidR="008801E1" w:rsidRPr="00210024" w:rsidRDefault="008D344E" w:rsidP="003A07FC">
      <w:pPr>
        <w:spacing w:after="0"/>
        <w:jc w:val="center"/>
        <w:rPr>
          <w:rFonts w:ascii="Times New Roman" w:hAnsi="Times New Roman" w:cs="Times New Roman"/>
        </w:rPr>
      </w:pPr>
      <w:r w:rsidRPr="00210024">
        <w:rPr>
          <w:rFonts w:ascii="Times New Roman" w:hAnsi="Times New Roman" w:cs="Times New Roman"/>
          <w:b/>
          <w:bCs/>
        </w:rPr>
        <w:t xml:space="preserve">Table 2: Percentage </w:t>
      </w:r>
      <w:r w:rsidR="004D1922" w:rsidRPr="00210024">
        <w:rPr>
          <w:rFonts w:ascii="Times New Roman" w:hAnsi="Times New Roman" w:cs="Times New Roman"/>
          <w:b/>
          <w:bCs/>
        </w:rPr>
        <w:t xml:space="preserve">of </w:t>
      </w:r>
      <w:r w:rsidRPr="00210024">
        <w:rPr>
          <w:rFonts w:ascii="Times New Roman" w:hAnsi="Times New Roman" w:cs="Times New Roman"/>
          <w:b/>
          <w:bCs/>
        </w:rPr>
        <w:t>change in value added of economic activities in</w:t>
      </w:r>
      <w:r w:rsidR="003A07FC" w:rsidRPr="003A07FC">
        <w:rPr>
          <w:rFonts w:ascii="Times New Roman" w:hAnsi="Times New Roman" w:cs="Times New Roman"/>
          <w:b/>
          <w:bCs/>
        </w:rPr>
        <w:t xml:space="preserve"> </w:t>
      </w:r>
      <w:r w:rsidR="003A07FC">
        <w:rPr>
          <w:rFonts w:ascii="Times New Roman" w:hAnsi="Times New Roman" w:cs="Times New Roman"/>
          <w:b/>
          <w:bCs/>
        </w:rPr>
        <w:t>the</w:t>
      </w:r>
      <w:r w:rsidR="003A07FC" w:rsidRPr="004E405F">
        <w:rPr>
          <w:rFonts w:ascii="Times New Roman" w:hAnsi="Times New Roman" w:cs="Times New Roman"/>
          <w:b/>
          <w:bCs/>
        </w:rPr>
        <w:t xml:space="preserve"> Palestinian </w:t>
      </w:r>
      <w:r w:rsidR="00510B3A">
        <w:rPr>
          <w:rFonts w:ascii="Times New Roman" w:hAnsi="Times New Roman" w:cs="Times New Roman"/>
          <w:b/>
          <w:bCs/>
        </w:rPr>
        <w:t xml:space="preserve">   </w:t>
      </w:r>
      <w:r w:rsidR="003A07FC">
        <w:rPr>
          <w:rFonts w:ascii="Times New Roman" w:hAnsi="Times New Roman" w:cs="Times New Roman"/>
          <w:b/>
          <w:bCs/>
        </w:rPr>
        <w:t>Territory</w:t>
      </w:r>
      <w:r w:rsidRPr="00210024">
        <w:rPr>
          <w:rFonts w:ascii="Times New Roman" w:hAnsi="Times New Roman" w:cs="Times New Roman"/>
          <w:b/>
          <w:bCs/>
        </w:rPr>
        <w:t xml:space="preserve"> </w:t>
      </w:r>
      <w:r w:rsidR="003A07FC">
        <w:rPr>
          <w:rFonts w:ascii="Times New Roman" w:hAnsi="Times New Roman" w:cs="Times New Roman"/>
          <w:b/>
          <w:bCs/>
        </w:rPr>
        <w:t>(</w:t>
      </w:r>
      <w:r w:rsidRPr="00210024">
        <w:rPr>
          <w:rFonts w:ascii="Times New Roman" w:hAnsi="Times New Roman" w:cs="Times New Roman"/>
          <w:b/>
          <w:bCs/>
        </w:rPr>
        <w:t>201</w:t>
      </w:r>
      <w:r w:rsidR="003A07FC">
        <w:rPr>
          <w:rFonts w:ascii="Times New Roman" w:hAnsi="Times New Roman" w:cs="Times New Roman"/>
          <w:b/>
          <w:bCs/>
        </w:rPr>
        <w:t>0,</w:t>
      </w:r>
      <w:r w:rsidRPr="00210024">
        <w:rPr>
          <w:rFonts w:ascii="Times New Roman" w:hAnsi="Times New Roman" w:cs="Times New Roman"/>
          <w:b/>
          <w:bCs/>
        </w:rPr>
        <w:t xml:space="preserve"> 201</w:t>
      </w:r>
      <w:r w:rsidR="003A07FC">
        <w:rPr>
          <w:rFonts w:ascii="Times New Roman" w:hAnsi="Times New Roman" w:cs="Times New Roman"/>
          <w:b/>
          <w:bCs/>
        </w:rPr>
        <w:t>1</w:t>
      </w:r>
      <w:r w:rsidR="003A07FC">
        <w:rPr>
          <w:rFonts w:ascii="Times New Roman" w:hAnsi="Times New Roman" w:cs="Times New Roman"/>
        </w:rPr>
        <w:t>)</w:t>
      </w:r>
    </w:p>
    <w:p w:rsidR="00A43A42" w:rsidRPr="00BF69B2" w:rsidRDefault="008D344E" w:rsidP="00DC407E">
      <w:pPr>
        <w:spacing w:after="0"/>
        <w:jc w:val="center"/>
        <w:rPr>
          <w:rFonts w:ascii="Times New Roman" w:hAnsi="Times New Roman" w:cs="Times New Roman"/>
          <w:b/>
          <w:bCs/>
          <w:sz w:val="18"/>
          <w:szCs w:val="18"/>
        </w:rPr>
      </w:pPr>
      <w:r w:rsidRPr="00BF69B2">
        <w:rPr>
          <w:rFonts w:ascii="Times New Roman" w:hAnsi="Times New Roman" w:cs="Times New Roman"/>
          <w:b/>
          <w:bCs/>
          <w:sz w:val="18"/>
          <w:szCs w:val="18"/>
        </w:rPr>
        <w:t xml:space="preserve">(Value in </w:t>
      </w:r>
      <w:r w:rsidR="000E0C2C">
        <w:rPr>
          <w:rFonts w:ascii="Times New Roman" w:hAnsi="Times New Roman" w:cs="Times New Roman"/>
          <w:b/>
          <w:bCs/>
          <w:sz w:val="18"/>
          <w:szCs w:val="18"/>
        </w:rPr>
        <w:t>USD</w:t>
      </w:r>
      <w:r w:rsidR="00DC407E" w:rsidRPr="00DC407E">
        <w:rPr>
          <w:rFonts w:ascii="Times New Roman" w:hAnsi="Times New Roman" w:cs="Times New Roman"/>
          <w:b/>
          <w:bCs/>
          <w:sz w:val="18"/>
          <w:szCs w:val="18"/>
        </w:rPr>
        <w:t xml:space="preserve"> </w:t>
      </w:r>
      <w:r w:rsidR="00DC407E" w:rsidRPr="00BF69B2">
        <w:rPr>
          <w:rFonts w:ascii="Times New Roman" w:hAnsi="Times New Roman" w:cs="Times New Roman"/>
          <w:b/>
          <w:bCs/>
          <w:sz w:val="18"/>
          <w:szCs w:val="18"/>
        </w:rPr>
        <w:t>Millions</w:t>
      </w:r>
      <w:r w:rsidRPr="00BF69B2">
        <w:rPr>
          <w:rFonts w:ascii="Times New Roman" w:hAnsi="Times New Roman" w:cs="Times New Roman"/>
          <w:b/>
          <w:bCs/>
          <w:sz w:val="18"/>
          <w:szCs w:val="18"/>
        </w:rPr>
        <w:t>)</w:t>
      </w:r>
    </w:p>
    <w:tbl>
      <w:tblPr>
        <w:tblW w:w="8897" w:type="dxa"/>
        <w:tblInd w:w="108" w:type="dxa"/>
        <w:tblLayout w:type="fixed"/>
        <w:tblLook w:val="0000"/>
      </w:tblPr>
      <w:tblGrid>
        <w:gridCol w:w="3584"/>
        <w:gridCol w:w="843"/>
        <w:gridCol w:w="1011"/>
        <w:gridCol w:w="1068"/>
        <w:gridCol w:w="799"/>
        <w:gridCol w:w="212"/>
        <w:gridCol w:w="847"/>
        <w:gridCol w:w="533"/>
      </w:tblGrid>
      <w:tr w:rsidR="008801E1" w:rsidRPr="00210024" w:rsidTr="00186D70">
        <w:trPr>
          <w:cantSplit/>
          <w:trHeight w:hRule="exact" w:val="284"/>
        </w:trPr>
        <w:tc>
          <w:tcPr>
            <w:tcW w:w="3584" w:type="dxa"/>
            <w:vMerge w:val="restart"/>
            <w:tcBorders>
              <w:top w:val="single" w:sz="12" w:space="0" w:color="auto"/>
            </w:tcBorders>
            <w:vAlign w:val="center"/>
          </w:tcPr>
          <w:p w:rsidR="008801E1" w:rsidRPr="00210024" w:rsidRDefault="008801E1" w:rsidP="009274F8">
            <w:pPr>
              <w:pStyle w:val="Heading4"/>
              <w:spacing w:before="0"/>
              <w:jc w:val="center"/>
              <w:rPr>
                <w:rFonts w:ascii="Times New Roman" w:hAnsi="Times New Roman"/>
                <w:i w:val="0"/>
                <w:iCs w:val="0"/>
                <w:color w:val="000000" w:themeColor="text1"/>
                <w:sz w:val="18"/>
                <w:szCs w:val="18"/>
              </w:rPr>
            </w:pPr>
            <w:r w:rsidRPr="00210024">
              <w:rPr>
                <w:rFonts w:ascii="Times New Roman" w:hAnsi="Times New Roman"/>
                <w:i w:val="0"/>
                <w:iCs w:val="0"/>
                <w:color w:val="auto"/>
                <w:sz w:val="18"/>
                <w:szCs w:val="18"/>
              </w:rPr>
              <w:t>Economic activity</w:t>
            </w:r>
          </w:p>
        </w:tc>
        <w:tc>
          <w:tcPr>
            <w:tcW w:w="2922" w:type="dxa"/>
            <w:gridSpan w:val="3"/>
            <w:tcBorders>
              <w:top w:val="single" w:sz="12" w:space="0" w:color="auto"/>
              <w:bottom w:val="single" w:sz="12" w:space="0" w:color="auto"/>
            </w:tcBorders>
            <w:vAlign w:val="center"/>
          </w:tcPr>
          <w:p w:rsidR="008801E1" w:rsidRPr="00210024" w:rsidRDefault="008801E1" w:rsidP="007A7FF4">
            <w:pPr>
              <w:spacing w:after="0"/>
              <w:jc w:val="both"/>
              <w:rPr>
                <w:rFonts w:ascii="Times New Roman" w:hAnsi="Times New Roman" w:cs="Times New Roman"/>
                <w:b/>
                <w:bCs/>
                <w:sz w:val="18"/>
                <w:szCs w:val="18"/>
              </w:rPr>
            </w:pPr>
            <w:r w:rsidRPr="00210024">
              <w:rPr>
                <w:rFonts w:ascii="Times New Roman" w:hAnsi="Times New Roman" w:cs="Times New Roman"/>
                <w:b/>
                <w:bCs/>
                <w:sz w:val="18"/>
                <w:szCs w:val="18"/>
              </w:rPr>
              <w:t xml:space="preserve">Palestinian </w:t>
            </w:r>
            <w:r w:rsidR="002C7C30">
              <w:rPr>
                <w:rFonts w:ascii="Times New Roman" w:hAnsi="Times New Roman" w:cs="Times New Roman"/>
                <w:b/>
                <w:bCs/>
                <w:sz w:val="18"/>
                <w:szCs w:val="18"/>
              </w:rPr>
              <w:t>Territory</w:t>
            </w:r>
          </w:p>
        </w:tc>
        <w:tc>
          <w:tcPr>
            <w:tcW w:w="2391" w:type="dxa"/>
            <w:gridSpan w:val="4"/>
            <w:tcBorders>
              <w:top w:val="single" w:sz="12" w:space="0" w:color="auto"/>
              <w:bottom w:val="single" w:sz="12" w:space="0" w:color="auto"/>
            </w:tcBorders>
            <w:vAlign w:val="center"/>
          </w:tcPr>
          <w:p w:rsidR="008801E1" w:rsidRPr="00210024" w:rsidRDefault="008801E1" w:rsidP="007A7FF4">
            <w:pPr>
              <w:spacing w:after="0"/>
              <w:jc w:val="both"/>
              <w:rPr>
                <w:rFonts w:ascii="Times New Roman" w:hAnsi="Times New Roman" w:cs="Times New Roman"/>
                <w:b/>
                <w:bCs/>
                <w:sz w:val="18"/>
                <w:szCs w:val="18"/>
              </w:rPr>
            </w:pPr>
            <w:r w:rsidRPr="00210024">
              <w:rPr>
                <w:rFonts w:ascii="Times New Roman" w:hAnsi="Times New Roman" w:cs="Times New Roman"/>
                <w:b/>
                <w:bCs/>
                <w:sz w:val="18"/>
                <w:szCs w:val="18"/>
              </w:rPr>
              <w:t>% change</w:t>
            </w:r>
          </w:p>
        </w:tc>
      </w:tr>
      <w:tr w:rsidR="008801E1" w:rsidRPr="00210024" w:rsidTr="00186D70">
        <w:trPr>
          <w:gridAfter w:val="1"/>
          <w:wAfter w:w="533" w:type="dxa"/>
          <w:cantSplit/>
          <w:trHeight w:hRule="exact" w:val="798"/>
        </w:trPr>
        <w:tc>
          <w:tcPr>
            <w:tcW w:w="3584" w:type="dxa"/>
            <w:vMerge/>
            <w:tcBorders>
              <w:bottom w:val="single" w:sz="12" w:space="0" w:color="auto"/>
            </w:tcBorders>
            <w:vAlign w:val="center"/>
          </w:tcPr>
          <w:p w:rsidR="008801E1" w:rsidRPr="00210024" w:rsidRDefault="008801E1" w:rsidP="007A7FF4">
            <w:pPr>
              <w:spacing w:after="0"/>
              <w:jc w:val="both"/>
              <w:rPr>
                <w:rFonts w:ascii="Times New Roman" w:hAnsi="Times New Roman" w:cs="Times New Roman"/>
                <w:b/>
                <w:bCs/>
                <w:sz w:val="18"/>
                <w:szCs w:val="18"/>
              </w:rPr>
            </w:pPr>
          </w:p>
        </w:tc>
        <w:tc>
          <w:tcPr>
            <w:tcW w:w="843" w:type="dxa"/>
            <w:tcBorders>
              <w:top w:val="single" w:sz="12" w:space="0" w:color="auto"/>
              <w:bottom w:val="single" w:sz="12" w:space="0" w:color="auto"/>
            </w:tcBorders>
            <w:vAlign w:val="center"/>
          </w:tcPr>
          <w:p w:rsidR="008801E1" w:rsidRPr="00210024" w:rsidRDefault="008801E1" w:rsidP="003C568B">
            <w:pPr>
              <w:spacing w:after="0"/>
              <w:jc w:val="right"/>
              <w:rPr>
                <w:rFonts w:ascii="Times New Roman" w:hAnsi="Times New Roman" w:cs="Times New Roman"/>
                <w:b/>
                <w:bCs/>
                <w:sz w:val="18"/>
                <w:szCs w:val="18"/>
              </w:rPr>
            </w:pPr>
            <w:r w:rsidRPr="00210024">
              <w:rPr>
                <w:rFonts w:ascii="Times New Roman" w:hAnsi="Times New Roman" w:cs="Times New Roman"/>
                <w:b/>
                <w:bCs/>
                <w:sz w:val="18"/>
                <w:szCs w:val="18"/>
              </w:rPr>
              <w:t>Value added 2010</w:t>
            </w:r>
          </w:p>
        </w:tc>
        <w:tc>
          <w:tcPr>
            <w:tcW w:w="1011" w:type="dxa"/>
            <w:tcBorders>
              <w:top w:val="single" w:sz="12" w:space="0" w:color="auto"/>
              <w:bottom w:val="single" w:sz="12" w:space="0" w:color="auto"/>
            </w:tcBorders>
            <w:vAlign w:val="center"/>
          </w:tcPr>
          <w:p w:rsidR="008801E1" w:rsidRPr="00210024" w:rsidRDefault="008801E1" w:rsidP="003C568B">
            <w:pPr>
              <w:spacing w:after="0"/>
              <w:jc w:val="right"/>
              <w:rPr>
                <w:rFonts w:ascii="Times New Roman" w:hAnsi="Times New Roman" w:cs="Times New Roman"/>
                <w:b/>
                <w:bCs/>
                <w:sz w:val="18"/>
                <w:szCs w:val="18"/>
              </w:rPr>
            </w:pPr>
            <w:r w:rsidRPr="00210024">
              <w:rPr>
                <w:rFonts w:ascii="Times New Roman" w:hAnsi="Times New Roman" w:cs="Times New Roman"/>
                <w:b/>
                <w:bCs/>
                <w:sz w:val="18"/>
                <w:szCs w:val="18"/>
              </w:rPr>
              <w:t>Value added 2011</w:t>
            </w:r>
          </w:p>
        </w:tc>
        <w:tc>
          <w:tcPr>
            <w:tcW w:w="1068" w:type="dxa"/>
            <w:tcBorders>
              <w:top w:val="single" w:sz="12" w:space="0" w:color="auto"/>
              <w:bottom w:val="single" w:sz="12" w:space="0" w:color="auto"/>
            </w:tcBorders>
            <w:vAlign w:val="center"/>
          </w:tcPr>
          <w:p w:rsidR="008801E1" w:rsidRPr="00210024" w:rsidRDefault="008801E1" w:rsidP="003C568B">
            <w:pPr>
              <w:spacing w:after="0"/>
              <w:jc w:val="right"/>
              <w:rPr>
                <w:rFonts w:ascii="Times New Roman" w:hAnsi="Times New Roman" w:cs="Times New Roman"/>
                <w:b/>
                <w:bCs/>
                <w:sz w:val="18"/>
                <w:szCs w:val="18"/>
              </w:rPr>
            </w:pPr>
            <w:r w:rsidRPr="00210024">
              <w:rPr>
                <w:rFonts w:ascii="Times New Roman" w:hAnsi="Times New Roman" w:cs="Times New Roman"/>
                <w:b/>
                <w:bCs/>
                <w:sz w:val="18"/>
                <w:szCs w:val="18"/>
              </w:rPr>
              <w:t>% change</w:t>
            </w:r>
          </w:p>
        </w:tc>
        <w:tc>
          <w:tcPr>
            <w:tcW w:w="1011" w:type="dxa"/>
            <w:gridSpan w:val="2"/>
            <w:tcBorders>
              <w:top w:val="single" w:sz="12" w:space="0" w:color="auto"/>
              <w:bottom w:val="single" w:sz="12" w:space="0" w:color="auto"/>
            </w:tcBorders>
            <w:vAlign w:val="center"/>
          </w:tcPr>
          <w:p w:rsidR="008801E1" w:rsidRPr="00210024" w:rsidRDefault="008801E1" w:rsidP="003C568B">
            <w:pPr>
              <w:spacing w:after="0"/>
              <w:jc w:val="right"/>
              <w:rPr>
                <w:rFonts w:ascii="Times New Roman" w:hAnsi="Times New Roman" w:cs="Times New Roman"/>
                <w:b/>
                <w:bCs/>
                <w:sz w:val="18"/>
                <w:szCs w:val="18"/>
              </w:rPr>
            </w:pPr>
            <w:r w:rsidRPr="00210024">
              <w:rPr>
                <w:rFonts w:ascii="Times New Roman" w:hAnsi="Times New Roman" w:cs="Times New Roman"/>
                <w:b/>
                <w:bCs/>
                <w:sz w:val="18"/>
                <w:szCs w:val="18"/>
              </w:rPr>
              <w:t>West Bank</w:t>
            </w:r>
          </w:p>
        </w:tc>
        <w:tc>
          <w:tcPr>
            <w:tcW w:w="847" w:type="dxa"/>
            <w:tcBorders>
              <w:top w:val="single" w:sz="12" w:space="0" w:color="auto"/>
              <w:bottom w:val="single" w:sz="12" w:space="0" w:color="auto"/>
            </w:tcBorders>
            <w:vAlign w:val="center"/>
          </w:tcPr>
          <w:p w:rsidR="008801E1" w:rsidRPr="00210024" w:rsidRDefault="008801E1" w:rsidP="003C568B">
            <w:pPr>
              <w:spacing w:after="0"/>
              <w:jc w:val="right"/>
              <w:rPr>
                <w:rFonts w:ascii="Times New Roman" w:hAnsi="Times New Roman" w:cs="Times New Roman"/>
                <w:b/>
                <w:bCs/>
                <w:sz w:val="18"/>
                <w:szCs w:val="18"/>
              </w:rPr>
            </w:pPr>
            <w:r w:rsidRPr="00210024">
              <w:rPr>
                <w:rFonts w:ascii="Times New Roman" w:hAnsi="Times New Roman" w:cs="Times New Roman"/>
                <w:b/>
                <w:bCs/>
                <w:sz w:val="18"/>
                <w:szCs w:val="18"/>
              </w:rPr>
              <w:t>Gaza Strip</w:t>
            </w:r>
          </w:p>
        </w:tc>
      </w:tr>
      <w:tr w:rsidR="008801E1" w:rsidRPr="00210024" w:rsidTr="00186D70">
        <w:trPr>
          <w:trHeight w:hRule="exact" w:val="284"/>
        </w:trPr>
        <w:tc>
          <w:tcPr>
            <w:tcW w:w="3584" w:type="dxa"/>
            <w:tcBorders>
              <w:top w:val="single" w:sz="12" w:space="0" w:color="auto"/>
            </w:tcBorders>
            <w:vAlign w:val="center"/>
          </w:tcPr>
          <w:p w:rsidR="008801E1" w:rsidRPr="00210024" w:rsidRDefault="008801E1" w:rsidP="007A7FF4">
            <w:pPr>
              <w:spacing w:after="0"/>
              <w:jc w:val="both"/>
              <w:rPr>
                <w:rFonts w:ascii="Times New Roman" w:hAnsi="Times New Roman" w:cs="Times New Roman"/>
                <w:snapToGrid w:val="0"/>
                <w:sz w:val="18"/>
                <w:szCs w:val="18"/>
              </w:rPr>
            </w:pPr>
            <w:r w:rsidRPr="00210024">
              <w:rPr>
                <w:rFonts w:ascii="Times New Roman" w:hAnsi="Times New Roman" w:cs="Times New Roman"/>
                <w:snapToGrid w:val="0"/>
                <w:sz w:val="18"/>
                <w:szCs w:val="18"/>
              </w:rPr>
              <w:t>Agriculture, Forestry and Fishing</w:t>
            </w:r>
          </w:p>
        </w:tc>
        <w:tc>
          <w:tcPr>
            <w:tcW w:w="843" w:type="dxa"/>
            <w:tcBorders>
              <w:top w:val="single" w:sz="12" w:space="0" w:color="auto"/>
            </w:tcBorders>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314.9</w:t>
            </w:r>
          </w:p>
        </w:tc>
        <w:tc>
          <w:tcPr>
            <w:tcW w:w="1011" w:type="dxa"/>
            <w:tcBorders>
              <w:top w:val="single" w:sz="12" w:space="0" w:color="auto"/>
            </w:tcBorders>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346.1</w:t>
            </w:r>
          </w:p>
        </w:tc>
        <w:tc>
          <w:tcPr>
            <w:tcW w:w="1068" w:type="dxa"/>
            <w:tcBorders>
              <w:top w:val="single" w:sz="12" w:space="0" w:color="auto"/>
            </w:tcBorders>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9.9</w:t>
            </w:r>
          </w:p>
        </w:tc>
        <w:tc>
          <w:tcPr>
            <w:tcW w:w="799" w:type="dxa"/>
            <w:tcBorders>
              <w:top w:val="single" w:sz="12" w:space="0" w:color="auto"/>
            </w:tcBorders>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3.4</w:t>
            </w:r>
          </w:p>
        </w:tc>
        <w:tc>
          <w:tcPr>
            <w:tcW w:w="1592" w:type="dxa"/>
            <w:gridSpan w:val="3"/>
            <w:tcBorders>
              <w:top w:val="single" w:sz="12" w:space="0" w:color="auto"/>
            </w:tcBorders>
            <w:vAlign w:val="center"/>
          </w:tcPr>
          <w:p w:rsidR="008801E1" w:rsidRPr="00210024" w:rsidRDefault="008801E1" w:rsidP="003C568B">
            <w:pPr>
              <w:spacing w:after="0"/>
              <w:ind w:right="662"/>
              <w:jc w:val="right"/>
              <w:rPr>
                <w:rFonts w:ascii="Times New Roman" w:hAnsi="Times New Roman" w:cs="Times New Roman"/>
                <w:sz w:val="18"/>
                <w:szCs w:val="18"/>
              </w:rPr>
            </w:pPr>
            <w:r w:rsidRPr="00210024">
              <w:rPr>
                <w:rFonts w:ascii="Times New Roman" w:hAnsi="Times New Roman" w:cs="Times New Roman"/>
                <w:sz w:val="18"/>
                <w:szCs w:val="18"/>
              </w:rPr>
              <w:t>23.4</w:t>
            </w:r>
          </w:p>
        </w:tc>
      </w:tr>
      <w:tr w:rsidR="008801E1" w:rsidRPr="00210024" w:rsidTr="00186D70">
        <w:trPr>
          <w:trHeight w:hRule="exact" w:val="284"/>
        </w:trPr>
        <w:tc>
          <w:tcPr>
            <w:tcW w:w="3584" w:type="dxa"/>
            <w:vAlign w:val="center"/>
          </w:tcPr>
          <w:p w:rsidR="008801E1" w:rsidRPr="00210024" w:rsidRDefault="008801E1" w:rsidP="007A7FF4">
            <w:pPr>
              <w:spacing w:after="0"/>
              <w:jc w:val="both"/>
              <w:rPr>
                <w:rFonts w:ascii="Times New Roman" w:hAnsi="Times New Roman" w:cs="Times New Roman"/>
                <w:snapToGrid w:val="0"/>
                <w:sz w:val="18"/>
                <w:szCs w:val="18"/>
              </w:rPr>
            </w:pPr>
            <w:r w:rsidRPr="00210024">
              <w:rPr>
                <w:rFonts w:ascii="Times New Roman" w:hAnsi="Times New Roman" w:cs="Times New Roman"/>
                <w:snapToGrid w:val="0"/>
                <w:sz w:val="18"/>
                <w:szCs w:val="18"/>
              </w:rPr>
              <w:t>Mining, Manufacturing, Electricity&amp; Water</w:t>
            </w:r>
          </w:p>
        </w:tc>
        <w:tc>
          <w:tcPr>
            <w:tcW w:w="843"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742.5</w:t>
            </w:r>
          </w:p>
        </w:tc>
        <w:tc>
          <w:tcPr>
            <w:tcW w:w="1011"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798.7</w:t>
            </w:r>
          </w:p>
        </w:tc>
        <w:tc>
          <w:tcPr>
            <w:tcW w:w="1068"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7.6</w:t>
            </w:r>
          </w:p>
        </w:tc>
        <w:tc>
          <w:tcPr>
            <w:tcW w:w="799"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7.1</w:t>
            </w:r>
          </w:p>
        </w:tc>
        <w:tc>
          <w:tcPr>
            <w:tcW w:w="1592" w:type="dxa"/>
            <w:gridSpan w:val="3"/>
            <w:vAlign w:val="center"/>
          </w:tcPr>
          <w:p w:rsidR="008801E1" w:rsidRPr="00210024" w:rsidRDefault="008801E1" w:rsidP="003C568B">
            <w:pPr>
              <w:spacing w:after="0"/>
              <w:ind w:right="662"/>
              <w:jc w:val="right"/>
              <w:rPr>
                <w:rFonts w:ascii="Times New Roman" w:hAnsi="Times New Roman" w:cs="Times New Roman"/>
                <w:sz w:val="18"/>
                <w:szCs w:val="18"/>
              </w:rPr>
            </w:pPr>
            <w:r w:rsidRPr="00210024">
              <w:rPr>
                <w:rFonts w:ascii="Times New Roman" w:hAnsi="Times New Roman" w:cs="Times New Roman"/>
                <w:sz w:val="18"/>
                <w:szCs w:val="18"/>
              </w:rPr>
              <w:t>9.5</w:t>
            </w:r>
          </w:p>
        </w:tc>
      </w:tr>
      <w:tr w:rsidR="008801E1" w:rsidRPr="00210024" w:rsidTr="00186D70">
        <w:trPr>
          <w:trHeight w:hRule="exact" w:val="284"/>
        </w:trPr>
        <w:tc>
          <w:tcPr>
            <w:tcW w:w="3584" w:type="dxa"/>
            <w:vAlign w:val="center"/>
          </w:tcPr>
          <w:p w:rsidR="008801E1" w:rsidRPr="00210024" w:rsidRDefault="008801E1" w:rsidP="007A7FF4">
            <w:pPr>
              <w:spacing w:after="0"/>
              <w:jc w:val="both"/>
              <w:rPr>
                <w:rFonts w:ascii="Times New Roman" w:hAnsi="Times New Roman" w:cs="Times New Roman"/>
                <w:snapToGrid w:val="0"/>
                <w:sz w:val="18"/>
                <w:szCs w:val="18"/>
              </w:rPr>
            </w:pPr>
            <w:r w:rsidRPr="00210024">
              <w:rPr>
                <w:rFonts w:ascii="Times New Roman" w:hAnsi="Times New Roman" w:cs="Times New Roman"/>
                <w:snapToGrid w:val="0"/>
                <w:sz w:val="18"/>
                <w:szCs w:val="18"/>
              </w:rPr>
              <w:t>Construction</w:t>
            </w:r>
          </w:p>
        </w:tc>
        <w:tc>
          <w:tcPr>
            <w:tcW w:w="843"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557.9</w:t>
            </w:r>
          </w:p>
        </w:tc>
        <w:tc>
          <w:tcPr>
            <w:tcW w:w="1011"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708.2</w:t>
            </w:r>
          </w:p>
        </w:tc>
        <w:tc>
          <w:tcPr>
            <w:tcW w:w="1068"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26.9</w:t>
            </w:r>
          </w:p>
        </w:tc>
        <w:tc>
          <w:tcPr>
            <w:tcW w:w="799"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2.0</w:t>
            </w:r>
          </w:p>
        </w:tc>
        <w:tc>
          <w:tcPr>
            <w:tcW w:w="1592" w:type="dxa"/>
            <w:gridSpan w:val="3"/>
            <w:vAlign w:val="center"/>
          </w:tcPr>
          <w:p w:rsidR="008801E1" w:rsidRPr="00210024" w:rsidRDefault="008801E1" w:rsidP="003C568B">
            <w:pPr>
              <w:spacing w:after="0"/>
              <w:ind w:right="662"/>
              <w:jc w:val="right"/>
              <w:rPr>
                <w:rFonts w:ascii="Times New Roman" w:hAnsi="Times New Roman" w:cs="Times New Roman"/>
                <w:sz w:val="18"/>
                <w:szCs w:val="18"/>
              </w:rPr>
            </w:pPr>
            <w:r w:rsidRPr="00210024">
              <w:rPr>
                <w:rFonts w:ascii="Times New Roman" w:hAnsi="Times New Roman" w:cs="Times New Roman"/>
                <w:sz w:val="18"/>
                <w:szCs w:val="18"/>
              </w:rPr>
              <w:t>119.0</w:t>
            </w:r>
          </w:p>
        </w:tc>
      </w:tr>
      <w:tr w:rsidR="008801E1" w:rsidRPr="00210024" w:rsidTr="00186D70">
        <w:trPr>
          <w:trHeight w:hRule="exact" w:val="371"/>
        </w:trPr>
        <w:tc>
          <w:tcPr>
            <w:tcW w:w="3584" w:type="dxa"/>
            <w:vAlign w:val="center"/>
          </w:tcPr>
          <w:p w:rsidR="008801E1" w:rsidRPr="00210024" w:rsidRDefault="008801E1" w:rsidP="007A7FF4">
            <w:pPr>
              <w:spacing w:after="0"/>
              <w:jc w:val="both"/>
              <w:rPr>
                <w:rFonts w:ascii="Times New Roman" w:hAnsi="Times New Roman" w:cs="Times New Roman"/>
                <w:snapToGrid w:val="0"/>
                <w:sz w:val="18"/>
                <w:szCs w:val="18"/>
                <w:rtl/>
              </w:rPr>
            </w:pPr>
            <w:r w:rsidRPr="00210024">
              <w:rPr>
                <w:rFonts w:ascii="Times New Roman" w:hAnsi="Times New Roman" w:cs="Times New Roman"/>
                <w:snapToGrid w:val="0"/>
                <w:sz w:val="18"/>
                <w:szCs w:val="18"/>
              </w:rPr>
              <w:t>Wholesale and Retail Trade</w:t>
            </w:r>
          </w:p>
        </w:tc>
        <w:tc>
          <w:tcPr>
            <w:tcW w:w="843"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538.8</w:t>
            </w:r>
          </w:p>
        </w:tc>
        <w:tc>
          <w:tcPr>
            <w:tcW w:w="1011"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587.0</w:t>
            </w:r>
          </w:p>
        </w:tc>
        <w:tc>
          <w:tcPr>
            <w:tcW w:w="1068"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8.9</w:t>
            </w:r>
          </w:p>
        </w:tc>
        <w:tc>
          <w:tcPr>
            <w:tcW w:w="799"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5.2</w:t>
            </w:r>
          </w:p>
        </w:tc>
        <w:tc>
          <w:tcPr>
            <w:tcW w:w="1592" w:type="dxa"/>
            <w:gridSpan w:val="3"/>
            <w:vAlign w:val="center"/>
          </w:tcPr>
          <w:p w:rsidR="008801E1" w:rsidRPr="00210024" w:rsidRDefault="008801E1" w:rsidP="003C568B">
            <w:pPr>
              <w:spacing w:after="0"/>
              <w:ind w:right="601"/>
              <w:jc w:val="right"/>
              <w:rPr>
                <w:rFonts w:ascii="Times New Roman" w:hAnsi="Times New Roman" w:cs="Times New Roman"/>
                <w:sz w:val="18"/>
                <w:szCs w:val="18"/>
              </w:rPr>
            </w:pPr>
            <w:r w:rsidRPr="00210024">
              <w:rPr>
                <w:rFonts w:ascii="Times New Roman" w:hAnsi="Times New Roman" w:cs="Times New Roman"/>
                <w:sz w:val="18"/>
                <w:szCs w:val="18"/>
              </w:rPr>
              <w:t>20.1</w:t>
            </w:r>
          </w:p>
        </w:tc>
      </w:tr>
      <w:tr w:rsidR="008801E1" w:rsidRPr="00210024" w:rsidTr="00186D70">
        <w:trPr>
          <w:trHeight w:hRule="exact" w:val="284"/>
        </w:trPr>
        <w:tc>
          <w:tcPr>
            <w:tcW w:w="3584" w:type="dxa"/>
            <w:vAlign w:val="center"/>
          </w:tcPr>
          <w:p w:rsidR="008801E1" w:rsidRPr="00210024" w:rsidRDefault="008801E1" w:rsidP="007A7FF4">
            <w:pPr>
              <w:spacing w:after="0"/>
              <w:jc w:val="both"/>
              <w:rPr>
                <w:rFonts w:ascii="Times New Roman" w:hAnsi="Times New Roman" w:cs="Times New Roman"/>
                <w:snapToGrid w:val="0"/>
                <w:sz w:val="18"/>
                <w:szCs w:val="18"/>
                <w:rtl/>
              </w:rPr>
            </w:pPr>
            <w:r w:rsidRPr="00210024">
              <w:rPr>
                <w:rFonts w:ascii="Times New Roman" w:hAnsi="Times New Roman" w:cs="Times New Roman"/>
                <w:snapToGrid w:val="0"/>
                <w:sz w:val="18"/>
                <w:szCs w:val="18"/>
              </w:rPr>
              <w:t xml:space="preserve">Transport, Storage and communication </w:t>
            </w:r>
          </w:p>
        </w:tc>
        <w:tc>
          <w:tcPr>
            <w:tcW w:w="843"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tl/>
              </w:rPr>
              <w:t>118.7</w:t>
            </w:r>
          </w:p>
        </w:tc>
        <w:tc>
          <w:tcPr>
            <w:tcW w:w="1011"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133.3</w:t>
            </w:r>
          </w:p>
        </w:tc>
        <w:tc>
          <w:tcPr>
            <w:tcW w:w="1068"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12.3</w:t>
            </w:r>
          </w:p>
        </w:tc>
        <w:tc>
          <w:tcPr>
            <w:tcW w:w="799"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6.1</w:t>
            </w:r>
          </w:p>
        </w:tc>
        <w:tc>
          <w:tcPr>
            <w:tcW w:w="1592" w:type="dxa"/>
            <w:gridSpan w:val="3"/>
            <w:vAlign w:val="center"/>
          </w:tcPr>
          <w:p w:rsidR="008801E1" w:rsidRPr="00210024" w:rsidRDefault="008801E1" w:rsidP="003C568B">
            <w:pPr>
              <w:spacing w:after="0"/>
              <w:ind w:right="662"/>
              <w:jc w:val="right"/>
              <w:rPr>
                <w:rFonts w:ascii="Times New Roman" w:hAnsi="Times New Roman" w:cs="Times New Roman"/>
                <w:sz w:val="18"/>
                <w:szCs w:val="18"/>
              </w:rPr>
            </w:pPr>
            <w:r w:rsidRPr="00210024">
              <w:rPr>
                <w:rFonts w:ascii="Times New Roman" w:hAnsi="Times New Roman" w:cs="Times New Roman"/>
                <w:sz w:val="18"/>
                <w:szCs w:val="18"/>
              </w:rPr>
              <w:t>57.3</w:t>
            </w:r>
          </w:p>
        </w:tc>
      </w:tr>
      <w:tr w:rsidR="008801E1" w:rsidRPr="00210024" w:rsidTr="00186D70">
        <w:trPr>
          <w:trHeight w:hRule="exact" w:val="284"/>
        </w:trPr>
        <w:tc>
          <w:tcPr>
            <w:tcW w:w="3584" w:type="dxa"/>
            <w:vAlign w:val="center"/>
          </w:tcPr>
          <w:p w:rsidR="008801E1" w:rsidRPr="00210024" w:rsidRDefault="008801E1" w:rsidP="007A7FF4">
            <w:pPr>
              <w:spacing w:after="0"/>
              <w:jc w:val="both"/>
              <w:rPr>
                <w:rFonts w:ascii="Times New Roman" w:hAnsi="Times New Roman" w:cs="Times New Roman"/>
                <w:snapToGrid w:val="0"/>
                <w:sz w:val="18"/>
                <w:szCs w:val="18"/>
              </w:rPr>
            </w:pPr>
            <w:r w:rsidRPr="00210024">
              <w:rPr>
                <w:rFonts w:ascii="Times New Roman" w:hAnsi="Times New Roman" w:cs="Times New Roman"/>
                <w:snapToGrid w:val="0"/>
                <w:sz w:val="18"/>
                <w:szCs w:val="18"/>
              </w:rPr>
              <w:t>Financial and insurance activities</w:t>
            </w:r>
          </w:p>
        </w:tc>
        <w:tc>
          <w:tcPr>
            <w:tcW w:w="843" w:type="dxa"/>
            <w:vAlign w:val="center"/>
          </w:tcPr>
          <w:p w:rsidR="008801E1" w:rsidRPr="00210024" w:rsidRDefault="008801E1" w:rsidP="003C568B">
            <w:pPr>
              <w:spacing w:after="0"/>
              <w:jc w:val="right"/>
              <w:rPr>
                <w:rFonts w:ascii="Times New Roman" w:hAnsi="Times New Roman" w:cs="Times New Roman"/>
                <w:sz w:val="18"/>
                <w:szCs w:val="18"/>
                <w:rtl/>
              </w:rPr>
            </w:pPr>
            <w:r w:rsidRPr="00210024">
              <w:rPr>
                <w:rFonts w:ascii="Times New Roman" w:hAnsi="Times New Roman" w:cs="Times New Roman"/>
                <w:sz w:val="18"/>
                <w:szCs w:val="18"/>
                <w:rtl/>
              </w:rPr>
              <w:t>279.1</w:t>
            </w:r>
          </w:p>
        </w:tc>
        <w:tc>
          <w:tcPr>
            <w:tcW w:w="1011"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298.9</w:t>
            </w:r>
          </w:p>
        </w:tc>
        <w:tc>
          <w:tcPr>
            <w:tcW w:w="1068" w:type="dxa"/>
            <w:vAlign w:val="center"/>
          </w:tcPr>
          <w:p w:rsidR="008801E1" w:rsidRPr="00210024" w:rsidRDefault="008801E1" w:rsidP="003C568B">
            <w:pPr>
              <w:spacing w:after="0"/>
              <w:jc w:val="right"/>
              <w:rPr>
                <w:rFonts w:ascii="Times New Roman" w:hAnsi="Times New Roman" w:cs="Times New Roman"/>
                <w:sz w:val="18"/>
                <w:szCs w:val="18"/>
                <w:rtl/>
              </w:rPr>
            </w:pPr>
            <w:r w:rsidRPr="00210024">
              <w:rPr>
                <w:rFonts w:ascii="Times New Roman" w:hAnsi="Times New Roman" w:cs="Times New Roman"/>
                <w:sz w:val="18"/>
                <w:szCs w:val="18"/>
              </w:rPr>
              <w:t>7.1</w:t>
            </w:r>
          </w:p>
        </w:tc>
        <w:tc>
          <w:tcPr>
            <w:tcW w:w="799" w:type="dxa"/>
            <w:vAlign w:val="center"/>
          </w:tcPr>
          <w:p w:rsidR="008801E1" w:rsidRPr="00210024" w:rsidRDefault="008801E1" w:rsidP="003C568B">
            <w:pPr>
              <w:spacing w:after="0"/>
              <w:jc w:val="right"/>
              <w:rPr>
                <w:rFonts w:ascii="Times New Roman" w:hAnsi="Times New Roman" w:cs="Times New Roman"/>
                <w:sz w:val="18"/>
                <w:szCs w:val="18"/>
                <w:rtl/>
              </w:rPr>
            </w:pPr>
            <w:r w:rsidRPr="00210024">
              <w:rPr>
                <w:rFonts w:ascii="Times New Roman" w:hAnsi="Times New Roman" w:cs="Times New Roman"/>
                <w:sz w:val="18"/>
                <w:szCs w:val="18"/>
              </w:rPr>
              <w:t>7.3</w:t>
            </w:r>
          </w:p>
        </w:tc>
        <w:tc>
          <w:tcPr>
            <w:tcW w:w="1592" w:type="dxa"/>
            <w:gridSpan w:val="3"/>
            <w:vAlign w:val="center"/>
          </w:tcPr>
          <w:p w:rsidR="008801E1" w:rsidRPr="00210024" w:rsidRDefault="008801E1" w:rsidP="003C568B">
            <w:pPr>
              <w:spacing w:after="0"/>
              <w:ind w:right="662"/>
              <w:jc w:val="right"/>
              <w:rPr>
                <w:rFonts w:ascii="Times New Roman" w:hAnsi="Times New Roman" w:cs="Times New Roman"/>
                <w:sz w:val="18"/>
                <w:szCs w:val="18"/>
                <w:rtl/>
              </w:rPr>
            </w:pPr>
            <w:r w:rsidRPr="00210024">
              <w:rPr>
                <w:rFonts w:ascii="Times New Roman" w:hAnsi="Times New Roman" w:cs="Times New Roman"/>
                <w:sz w:val="18"/>
                <w:szCs w:val="18"/>
              </w:rPr>
              <w:t>5.3</w:t>
            </w:r>
          </w:p>
        </w:tc>
      </w:tr>
      <w:tr w:rsidR="008801E1" w:rsidRPr="00210024" w:rsidTr="00186D70">
        <w:trPr>
          <w:trHeight w:hRule="exact" w:val="284"/>
        </w:trPr>
        <w:tc>
          <w:tcPr>
            <w:tcW w:w="3584" w:type="dxa"/>
            <w:vAlign w:val="center"/>
          </w:tcPr>
          <w:p w:rsidR="008801E1" w:rsidRPr="00210024" w:rsidRDefault="008801E1" w:rsidP="007A7FF4">
            <w:pPr>
              <w:spacing w:after="0"/>
              <w:jc w:val="both"/>
              <w:rPr>
                <w:rFonts w:ascii="Times New Roman" w:hAnsi="Times New Roman" w:cs="Times New Roman"/>
                <w:snapToGrid w:val="0"/>
                <w:sz w:val="18"/>
                <w:szCs w:val="18"/>
              </w:rPr>
            </w:pPr>
            <w:r w:rsidRPr="00210024">
              <w:rPr>
                <w:rFonts w:ascii="Times New Roman" w:hAnsi="Times New Roman" w:cs="Times New Roman"/>
                <w:snapToGrid w:val="0"/>
                <w:sz w:val="18"/>
                <w:szCs w:val="18"/>
              </w:rPr>
              <w:t>Information and Communication</w:t>
            </w:r>
          </w:p>
        </w:tc>
        <w:tc>
          <w:tcPr>
            <w:tcW w:w="843" w:type="dxa"/>
            <w:vAlign w:val="center"/>
          </w:tcPr>
          <w:p w:rsidR="008801E1" w:rsidRPr="00210024" w:rsidRDefault="008801E1" w:rsidP="003C568B">
            <w:pPr>
              <w:spacing w:after="0"/>
              <w:jc w:val="right"/>
              <w:rPr>
                <w:rFonts w:ascii="Times New Roman" w:hAnsi="Times New Roman" w:cs="Times New Roman"/>
                <w:sz w:val="18"/>
                <w:szCs w:val="18"/>
                <w:rtl/>
              </w:rPr>
            </w:pPr>
            <w:r w:rsidRPr="00210024">
              <w:rPr>
                <w:rFonts w:ascii="Times New Roman" w:hAnsi="Times New Roman" w:cs="Times New Roman"/>
                <w:sz w:val="18"/>
                <w:szCs w:val="18"/>
              </w:rPr>
              <w:t>388.1</w:t>
            </w:r>
          </w:p>
        </w:tc>
        <w:tc>
          <w:tcPr>
            <w:tcW w:w="1011"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404.8</w:t>
            </w:r>
          </w:p>
        </w:tc>
        <w:tc>
          <w:tcPr>
            <w:tcW w:w="1068"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4.3</w:t>
            </w:r>
          </w:p>
        </w:tc>
        <w:tc>
          <w:tcPr>
            <w:tcW w:w="799"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4.3</w:t>
            </w:r>
          </w:p>
        </w:tc>
        <w:tc>
          <w:tcPr>
            <w:tcW w:w="1592" w:type="dxa"/>
            <w:gridSpan w:val="3"/>
            <w:vAlign w:val="center"/>
          </w:tcPr>
          <w:p w:rsidR="008801E1" w:rsidRPr="00210024" w:rsidRDefault="008801E1" w:rsidP="003C568B">
            <w:pPr>
              <w:spacing w:after="0"/>
              <w:ind w:right="662"/>
              <w:jc w:val="right"/>
              <w:rPr>
                <w:rFonts w:ascii="Times New Roman" w:hAnsi="Times New Roman" w:cs="Times New Roman"/>
                <w:sz w:val="18"/>
                <w:szCs w:val="18"/>
              </w:rPr>
            </w:pPr>
            <w:r w:rsidRPr="00210024">
              <w:rPr>
                <w:rFonts w:ascii="Times New Roman" w:hAnsi="Times New Roman" w:cs="Times New Roman"/>
                <w:sz w:val="18"/>
                <w:szCs w:val="18"/>
              </w:rPr>
              <w:t>4.3</w:t>
            </w:r>
          </w:p>
        </w:tc>
      </w:tr>
      <w:tr w:rsidR="008801E1" w:rsidRPr="00210024" w:rsidTr="00186D70">
        <w:trPr>
          <w:trHeight w:hRule="exact" w:val="284"/>
        </w:trPr>
        <w:tc>
          <w:tcPr>
            <w:tcW w:w="3584" w:type="dxa"/>
            <w:vAlign w:val="center"/>
          </w:tcPr>
          <w:p w:rsidR="008801E1" w:rsidRPr="00210024" w:rsidRDefault="008801E1" w:rsidP="007A7FF4">
            <w:pPr>
              <w:spacing w:after="0"/>
              <w:jc w:val="both"/>
              <w:rPr>
                <w:rFonts w:ascii="Times New Roman" w:hAnsi="Times New Roman" w:cs="Times New Roman"/>
                <w:snapToGrid w:val="0"/>
                <w:sz w:val="18"/>
                <w:szCs w:val="18"/>
              </w:rPr>
            </w:pPr>
            <w:r w:rsidRPr="00210024">
              <w:rPr>
                <w:rFonts w:ascii="Times New Roman" w:hAnsi="Times New Roman" w:cs="Times New Roman"/>
                <w:snapToGrid w:val="0"/>
                <w:sz w:val="18"/>
                <w:szCs w:val="18"/>
              </w:rPr>
              <w:t>Services</w:t>
            </w:r>
          </w:p>
        </w:tc>
        <w:tc>
          <w:tcPr>
            <w:tcW w:w="843"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tl/>
              </w:rPr>
              <w:t>1,272.7</w:t>
            </w:r>
          </w:p>
        </w:tc>
        <w:tc>
          <w:tcPr>
            <w:tcW w:w="1011"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tl/>
              </w:rPr>
              <w:t>1,</w:t>
            </w:r>
            <w:r w:rsidRPr="00210024">
              <w:rPr>
                <w:rFonts w:ascii="Times New Roman" w:hAnsi="Times New Roman" w:cs="Times New Roman"/>
                <w:sz w:val="18"/>
                <w:szCs w:val="18"/>
              </w:rPr>
              <w:t>382.0</w:t>
            </w:r>
          </w:p>
        </w:tc>
        <w:tc>
          <w:tcPr>
            <w:tcW w:w="1068"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8.6</w:t>
            </w:r>
          </w:p>
        </w:tc>
        <w:tc>
          <w:tcPr>
            <w:tcW w:w="799" w:type="dxa"/>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4.1</w:t>
            </w:r>
          </w:p>
        </w:tc>
        <w:tc>
          <w:tcPr>
            <w:tcW w:w="1592" w:type="dxa"/>
            <w:gridSpan w:val="3"/>
            <w:vAlign w:val="center"/>
          </w:tcPr>
          <w:p w:rsidR="008801E1" w:rsidRPr="00210024" w:rsidRDefault="008801E1" w:rsidP="003C568B">
            <w:pPr>
              <w:spacing w:after="0"/>
              <w:ind w:right="662"/>
              <w:jc w:val="right"/>
              <w:rPr>
                <w:rFonts w:ascii="Times New Roman" w:hAnsi="Times New Roman" w:cs="Times New Roman"/>
                <w:sz w:val="18"/>
                <w:szCs w:val="18"/>
              </w:rPr>
            </w:pPr>
            <w:r w:rsidRPr="00210024">
              <w:rPr>
                <w:rFonts w:ascii="Times New Roman" w:hAnsi="Times New Roman" w:cs="Times New Roman"/>
                <w:sz w:val="18"/>
                <w:szCs w:val="18"/>
              </w:rPr>
              <w:t>15.5</w:t>
            </w:r>
          </w:p>
        </w:tc>
      </w:tr>
      <w:tr w:rsidR="008801E1" w:rsidRPr="00210024" w:rsidTr="00186D70">
        <w:trPr>
          <w:trHeight w:hRule="exact" w:val="284"/>
        </w:trPr>
        <w:tc>
          <w:tcPr>
            <w:tcW w:w="3584" w:type="dxa"/>
            <w:tcBorders>
              <w:bottom w:val="single" w:sz="12" w:space="0" w:color="auto"/>
            </w:tcBorders>
            <w:vAlign w:val="center"/>
          </w:tcPr>
          <w:p w:rsidR="008801E1" w:rsidRPr="00210024" w:rsidRDefault="008801E1" w:rsidP="007A7FF4">
            <w:pPr>
              <w:spacing w:after="0"/>
              <w:jc w:val="both"/>
              <w:rPr>
                <w:rFonts w:ascii="Times New Roman" w:hAnsi="Times New Roman" w:cs="Times New Roman"/>
                <w:snapToGrid w:val="0"/>
                <w:sz w:val="18"/>
                <w:szCs w:val="18"/>
              </w:rPr>
            </w:pPr>
            <w:bookmarkStart w:id="0" w:name="OLE_LINK1"/>
            <w:bookmarkStart w:id="1" w:name="OLE_LINK2"/>
            <w:r w:rsidRPr="00210024">
              <w:rPr>
                <w:rFonts w:ascii="Times New Roman" w:hAnsi="Times New Roman" w:cs="Times New Roman"/>
                <w:snapToGrid w:val="0"/>
                <w:sz w:val="18"/>
                <w:szCs w:val="18"/>
              </w:rPr>
              <w:t>Public Administration and Defense</w:t>
            </w:r>
            <w:bookmarkEnd w:id="0"/>
            <w:bookmarkEnd w:id="1"/>
          </w:p>
        </w:tc>
        <w:tc>
          <w:tcPr>
            <w:tcW w:w="843" w:type="dxa"/>
            <w:tcBorders>
              <w:bottom w:val="single" w:sz="12" w:space="0" w:color="auto"/>
            </w:tcBorders>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tl/>
              </w:rPr>
              <w:t>782.1</w:t>
            </w:r>
          </w:p>
        </w:tc>
        <w:tc>
          <w:tcPr>
            <w:tcW w:w="1011" w:type="dxa"/>
            <w:tcBorders>
              <w:bottom w:val="single" w:sz="12" w:space="0" w:color="auto"/>
            </w:tcBorders>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884.0</w:t>
            </w:r>
          </w:p>
        </w:tc>
        <w:tc>
          <w:tcPr>
            <w:tcW w:w="1068" w:type="dxa"/>
            <w:tcBorders>
              <w:bottom w:val="single" w:sz="12" w:space="0" w:color="auto"/>
            </w:tcBorders>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13.0</w:t>
            </w:r>
          </w:p>
        </w:tc>
        <w:tc>
          <w:tcPr>
            <w:tcW w:w="799" w:type="dxa"/>
            <w:tcBorders>
              <w:bottom w:val="single" w:sz="12" w:space="0" w:color="auto"/>
            </w:tcBorders>
            <w:vAlign w:val="center"/>
          </w:tcPr>
          <w:p w:rsidR="008801E1" w:rsidRPr="00210024" w:rsidRDefault="008801E1" w:rsidP="003C568B">
            <w:pPr>
              <w:spacing w:after="0"/>
              <w:jc w:val="right"/>
              <w:rPr>
                <w:rFonts w:ascii="Times New Roman" w:hAnsi="Times New Roman" w:cs="Times New Roman"/>
                <w:sz w:val="18"/>
                <w:szCs w:val="18"/>
              </w:rPr>
            </w:pPr>
            <w:r w:rsidRPr="00210024">
              <w:rPr>
                <w:rFonts w:ascii="Times New Roman" w:hAnsi="Times New Roman" w:cs="Times New Roman"/>
                <w:sz w:val="18"/>
                <w:szCs w:val="18"/>
              </w:rPr>
              <w:t>14.2</w:t>
            </w:r>
          </w:p>
        </w:tc>
        <w:tc>
          <w:tcPr>
            <w:tcW w:w="1592" w:type="dxa"/>
            <w:gridSpan w:val="3"/>
            <w:tcBorders>
              <w:bottom w:val="single" w:sz="12" w:space="0" w:color="auto"/>
            </w:tcBorders>
            <w:vAlign w:val="center"/>
          </w:tcPr>
          <w:p w:rsidR="008801E1" w:rsidRPr="00210024" w:rsidRDefault="008801E1" w:rsidP="003C568B">
            <w:pPr>
              <w:spacing w:after="0"/>
              <w:ind w:right="662"/>
              <w:jc w:val="right"/>
              <w:rPr>
                <w:rFonts w:ascii="Times New Roman" w:hAnsi="Times New Roman" w:cs="Times New Roman"/>
                <w:sz w:val="18"/>
                <w:szCs w:val="18"/>
              </w:rPr>
            </w:pPr>
            <w:r w:rsidRPr="00210024">
              <w:rPr>
                <w:rFonts w:ascii="Times New Roman" w:hAnsi="Times New Roman" w:cs="Times New Roman"/>
                <w:sz w:val="18"/>
                <w:szCs w:val="18"/>
              </w:rPr>
              <w:t>11.8</w:t>
            </w:r>
          </w:p>
        </w:tc>
      </w:tr>
    </w:tbl>
    <w:p w:rsidR="008801E1" w:rsidRPr="00210024" w:rsidRDefault="008801E1" w:rsidP="007A7FF4">
      <w:pPr>
        <w:spacing w:after="0"/>
        <w:jc w:val="both"/>
        <w:rPr>
          <w:rFonts w:ascii="Times New Roman" w:hAnsi="Times New Roman" w:cs="Times New Roman"/>
          <w:sz w:val="18"/>
          <w:szCs w:val="18"/>
        </w:rPr>
      </w:pPr>
    </w:p>
    <w:p w:rsidR="007A7FF4" w:rsidRPr="00210024" w:rsidRDefault="007A7FF4" w:rsidP="007A7FF4">
      <w:pPr>
        <w:spacing w:after="0"/>
        <w:jc w:val="both"/>
        <w:rPr>
          <w:rFonts w:ascii="Times New Roman" w:hAnsi="Times New Roman" w:cs="Times New Roman"/>
          <w:sz w:val="24"/>
          <w:szCs w:val="24"/>
        </w:rPr>
      </w:pPr>
    </w:p>
    <w:p w:rsidR="00C82CF6" w:rsidRDefault="008D344E" w:rsidP="00297186">
      <w:pPr>
        <w:spacing w:after="0"/>
        <w:jc w:val="both"/>
        <w:rPr>
          <w:rFonts w:ascii="Times New Roman" w:hAnsi="Times New Roman" w:cs="Times New Roman"/>
          <w:sz w:val="24"/>
          <w:szCs w:val="24"/>
        </w:rPr>
      </w:pPr>
      <w:r w:rsidRPr="00C82CF6">
        <w:rPr>
          <w:rFonts w:ascii="Times New Roman" w:hAnsi="Times New Roman" w:cs="Times New Roman"/>
          <w:b/>
          <w:bCs/>
          <w:sz w:val="24"/>
          <w:szCs w:val="24"/>
        </w:rPr>
        <w:t>Despite the rise i</w:t>
      </w:r>
      <w:r w:rsidR="0094572A" w:rsidRPr="00C82CF6">
        <w:rPr>
          <w:rFonts w:ascii="Times New Roman" w:hAnsi="Times New Roman" w:cs="Times New Roman"/>
          <w:b/>
          <w:bCs/>
          <w:sz w:val="24"/>
          <w:szCs w:val="24"/>
        </w:rPr>
        <w:t xml:space="preserve">n all economic activities in Palestinian </w:t>
      </w:r>
      <w:r w:rsidR="002C7C30">
        <w:rPr>
          <w:rFonts w:ascii="Times New Roman" w:hAnsi="Times New Roman" w:cs="Times New Roman"/>
          <w:b/>
          <w:bCs/>
          <w:sz w:val="24"/>
          <w:szCs w:val="24"/>
        </w:rPr>
        <w:t>Territory</w:t>
      </w:r>
      <w:r w:rsidR="0094572A" w:rsidRPr="00C82CF6">
        <w:rPr>
          <w:rFonts w:ascii="Times New Roman" w:hAnsi="Times New Roman" w:cs="Times New Roman"/>
          <w:b/>
          <w:bCs/>
          <w:sz w:val="24"/>
          <w:szCs w:val="24"/>
        </w:rPr>
        <w:t xml:space="preserve"> during </w:t>
      </w:r>
      <w:r w:rsidRPr="00C82CF6">
        <w:rPr>
          <w:rFonts w:ascii="Times New Roman" w:hAnsi="Times New Roman" w:cs="Times New Roman"/>
          <w:b/>
          <w:bCs/>
          <w:sz w:val="24"/>
          <w:szCs w:val="24"/>
        </w:rPr>
        <w:t xml:space="preserve">2011, growth </w:t>
      </w:r>
      <w:r w:rsidR="0094572A" w:rsidRPr="00C82CF6">
        <w:rPr>
          <w:rFonts w:ascii="Times New Roman" w:hAnsi="Times New Roman" w:cs="Times New Roman"/>
          <w:b/>
          <w:bCs/>
          <w:sz w:val="24"/>
          <w:szCs w:val="24"/>
        </w:rPr>
        <w:t xml:space="preserve">rate </w:t>
      </w:r>
      <w:r w:rsidRPr="00C82CF6">
        <w:rPr>
          <w:rFonts w:ascii="Times New Roman" w:hAnsi="Times New Roman" w:cs="Times New Roman"/>
          <w:b/>
          <w:bCs/>
          <w:sz w:val="24"/>
          <w:szCs w:val="24"/>
        </w:rPr>
        <w:t>in these ac</w:t>
      </w:r>
      <w:r w:rsidR="0094572A" w:rsidRPr="00C82CF6">
        <w:rPr>
          <w:rFonts w:ascii="Times New Roman" w:hAnsi="Times New Roman" w:cs="Times New Roman"/>
          <w:b/>
          <w:bCs/>
          <w:sz w:val="24"/>
          <w:szCs w:val="24"/>
        </w:rPr>
        <w:t>tivities varied between</w:t>
      </w:r>
      <w:r w:rsidRPr="00C82CF6">
        <w:rPr>
          <w:rFonts w:ascii="Times New Roman" w:hAnsi="Times New Roman" w:cs="Times New Roman"/>
          <w:b/>
          <w:bCs/>
          <w:sz w:val="24"/>
          <w:szCs w:val="24"/>
        </w:rPr>
        <w:t xml:space="preserve"> West Bank and Gaza Strip.</w:t>
      </w:r>
      <w:r w:rsidRPr="00210024">
        <w:rPr>
          <w:rFonts w:ascii="Times New Roman" w:hAnsi="Times New Roman" w:cs="Times New Roman"/>
          <w:sz w:val="24"/>
          <w:szCs w:val="24"/>
        </w:rPr>
        <w:t xml:space="preserve"> Activity</w:t>
      </w:r>
      <w:r w:rsidR="0094572A" w:rsidRPr="00210024">
        <w:rPr>
          <w:rFonts w:ascii="Times New Roman" w:hAnsi="Times New Roman" w:cs="Times New Roman"/>
          <w:sz w:val="24"/>
          <w:szCs w:val="24"/>
        </w:rPr>
        <w:t xml:space="preserve"> of</w:t>
      </w:r>
      <w:r w:rsidRPr="00210024">
        <w:rPr>
          <w:rFonts w:ascii="Times New Roman" w:hAnsi="Times New Roman" w:cs="Times New Roman"/>
          <w:sz w:val="24"/>
          <w:szCs w:val="24"/>
        </w:rPr>
        <w:t xml:space="preserve"> </w:t>
      </w:r>
      <w:r w:rsidR="0094572A" w:rsidRPr="00210024">
        <w:rPr>
          <w:rFonts w:ascii="Times New Roman" w:hAnsi="Times New Roman" w:cs="Times New Roman"/>
          <w:sz w:val="24"/>
          <w:szCs w:val="24"/>
        </w:rPr>
        <w:t xml:space="preserve">public administration and defense </w:t>
      </w:r>
      <w:r w:rsidRPr="00210024">
        <w:rPr>
          <w:rFonts w:ascii="Times New Roman" w:hAnsi="Times New Roman" w:cs="Times New Roman"/>
          <w:sz w:val="24"/>
          <w:szCs w:val="24"/>
        </w:rPr>
        <w:t xml:space="preserve">has </w:t>
      </w:r>
      <w:r w:rsidR="00C82CF6">
        <w:rPr>
          <w:rFonts w:ascii="Times New Roman" w:hAnsi="Times New Roman" w:cs="Times New Roman"/>
          <w:sz w:val="24"/>
          <w:szCs w:val="24"/>
        </w:rPr>
        <w:t>increased</w:t>
      </w:r>
      <w:r w:rsidRPr="00210024">
        <w:rPr>
          <w:rFonts w:ascii="Times New Roman" w:hAnsi="Times New Roman" w:cs="Times New Roman"/>
          <w:sz w:val="24"/>
          <w:szCs w:val="24"/>
        </w:rPr>
        <w:t xml:space="preserve"> </w:t>
      </w:r>
      <w:r w:rsidR="0094572A" w:rsidRPr="00210024">
        <w:rPr>
          <w:rFonts w:ascii="Times New Roman" w:hAnsi="Times New Roman" w:cs="Times New Roman"/>
          <w:sz w:val="24"/>
          <w:szCs w:val="24"/>
        </w:rPr>
        <w:t xml:space="preserve">by </w:t>
      </w:r>
      <w:r w:rsidR="00C82CF6">
        <w:rPr>
          <w:rFonts w:ascii="Times New Roman" w:hAnsi="Times New Roman" w:cs="Times New Roman"/>
          <w:sz w:val="24"/>
          <w:szCs w:val="24"/>
        </w:rPr>
        <w:t>14.2</w:t>
      </w:r>
      <w:r w:rsidR="0094572A" w:rsidRPr="00210024">
        <w:rPr>
          <w:rFonts w:ascii="Times New Roman" w:hAnsi="Times New Roman" w:cs="Times New Roman"/>
          <w:sz w:val="24"/>
          <w:szCs w:val="24"/>
        </w:rPr>
        <w:t>% in</w:t>
      </w:r>
      <w:r w:rsidRPr="00210024">
        <w:rPr>
          <w:rFonts w:ascii="Times New Roman" w:hAnsi="Times New Roman" w:cs="Times New Roman"/>
          <w:sz w:val="24"/>
          <w:szCs w:val="24"/>
        </w:rPr>
        <w:t xml:space="preserve"> West Bank, followed by</w:t>
      </w:r>
      <w:r w:rsidR="00297186" w:rsidRPr="00297186">
        <w:rPr>
          <w:rFonts w:ascii="Times New Roman" w:hAnsi="Times New Roman" w:cs="Times New Roman"/>
          <w:sz w:val="24"/>
          <w:szCs w:val="24"/>
        </w:rPr>
        <w:t xml:space="preserve"> </w:t>
      </w:r>
      <w:r w:rsidR="00297186" w:rsidRPr="00210024">
        <w:rPr>
          <w:rFonts w:ascii="Times New Roman" w:hAnsi="Times New Roman" w:cs="Times New Roman"/>
          <w:sz w:val="24"/>
          <w:szCs w:val="24"/>
        </w:rPr>
        <w:t>financial and insurance</w:t>
      </w:r>
      <w:r w:rsidR="00297186">
        <w:rPr>
          <w:rFonts w:ascii="Times New Roman" w:hAnsi="Times New Roman" w:cs="Times New Roman"/>
          <w:sz w:val="24"/>
          <w:szCs w:val="24"/>
        </w:rPr>
        <w:t xml:space="preserve"> activity,</w:t>
      </w:r>
      <w:r w:rsidRPr="00210024">
        <w:rPr>
          <w:rFonts w:ascii="Times New Roman" w:hAnsi="Times New Roman" w:cs="Times New Roman"/>
          <w:sz w:val="24"/>
          <w:szCs w:val="24"/>
        </w:rPr>
        <w:t xml:space="preserve"> mining and </w:t>
      </w:r>
      <w:r w:rsidR="0094572A" w:rsidRPr="00210024">
        <w:rPr>
          <w:rFonts w:ascii="Times New Roman" w:hAnsi="Times New Roman" w:cs="Times New Roman"/>
          <w:sz w:val="24"/>
          <w:szCs w:val="24"/>
        </w:rPr>
        <w:t>manufacturing,</w:t>
      </w:r>
      <w:r w:rsidRPr="00210024">
        <w:rPr>
          <w:rFonts w:ascii="Times New Roman" w:hAnsi="Times New Roman" w:cs="Times New Roman"/>
          <w:sz w:val="24"/>
          <w:szCs w:val="24"/>
        </w:rPr>
        <w:t xml:space="preserve"> </w:t>
      </w:r>
      <w:r w:rsidR="00297186" w:rsidRPr="00210024">
        <w:rPr>
          <w:rFonts w:ascii="Times New Roman" w:hAnsi="Times New Roman" w:cs="Times New Roman"/>
          <w:sz w:val="24"/>
          <w:szCs w:val="24"/>
        </w:rPr>
        <w:t>transport and storage activities</w:t>
      </w:r>
      <w:r w:rsidR="00297186">
        <w:rPr>
          <w:rFonts w:ascii="Times New Roman" w:hAnsi="Times New Roman" w:cs="Times New Roman"/>
          <w:sz w:val="24"/>
          <w:szCs w:val="24"/>
        </w:rPr>
        <w:t>,</w:t>
      </w:r>
      <w:r w:rsidR="00297186" w:rsidRPr="00210024">
        <w:rPr>
          <w:rFonts w:ascii="Times New Roman" w:hAnsi="Times New Roman" w:cs="Times New Roman"/>
          <w:sz w:val="24"/>
          <w:szCs w:val="24"/>
        </w:rPr>
        <w:t xml:space="preserve"> </w:t>
      </w:r>
      <w:r w:rsidRPr="00210024">
        <w:rPr>
          <w:rFonts w:ascii="Times New Roman" w:hAnsi="Times New Roman" w:cs="Times New Roman"/>
          <w:sz w:val="24"/>
          <w:szCs w:val="24"/>
        </w:rPr>
        <w:t xml:space="preserve">wholesale and </w:t>
      </w:r>
      <w:r w:rsidRPr="00210024">
        <w:rPr>
          <w:rFonts w:ascii="Times New Roman" w:hAnsi="Times New Roman" w:cs="Times New Roman"/>
          <w:sz w:val="24"/>
          <w:szCs w:val="24"/>
        </w:rPr>
        <w:lastRenderedPageBreak/>
        <w:t>retail trade</w:t>
      </w:r>
      <w:r w:rsidR="00297186">
        <w:rPr>
          <w:rFonts w:ascii="Times New Roman" w:hAnsi="Times New Roman" w:cs="Times New Roman"/>
          <w:sz w:val="24"/>
          <w:szCs w:val="24"/>
        </w:rPr>
        <w:t xml:space="preserve"> activity</w:t>
      </w:r>
      <w:r w:rsidR="0094572A" w:rsidRPr="00210024">
        <w:rPr>
          <w:rFonts w:ascii="Times New Roman" w:hAnsi="Times New Roman" w:cs="Times New Roman"/>
          <w:sz w:val="24"/>
          <w:szCs w:val="24"/>
        </w:rPr>
        <w:t>. In</w:t>
      </w:r>
      <w:r w:rsidRPr="00210024">
        <w:rPr>
          <w:rFonts w:ascii="Times New Roman" w:hAnsi="Times New Roman" w:cs="Times New Roman"/>
          <w:sz w:val="24"/>
          <w:szCs w:val="24"/>
        </w:rPr>
        <w:t xml:space="preserve"> Gaza Strip, </w:t>
      </w:r>
      <w:r w:rsidR="0094572A" w:rsidRPr="00210024">
        <w:rPr>
          <w:rFonts w:ascii="Times New Roman" w:hAnsi="Times New Roman" w:cs="Times New Roman"/>
          <w:sz w:val="24"/>
          <w:szCs w:val="24"/>
        </w:rPr>
        <w:t xml:space="preserve">construction activity </w:t>
      </w:r>
      <w:r w:rsidRPr="00210024">
        <w:rPr>
          <w:rFonts w:ascii="Times New Roman" w:hAnsi="Times New Roman" w:cs="Times New Roman"/>
          <w:sz w:val="24"/>
          <w:szCs w:val="24"/>
        </w:rPr>
        <w:t xml:space="preserve">has </w:t>
      </w:r>
      <w:r w:rsidR="00C82CF6">
        <w:rPr>
          <w:rFonts w:ascii="Times New Roman" w:hAnsi="Times New Roman" w:cs="Times New Roman"/>
          <w:sz w:val="24"/>
          <w:szCs w:val="24"/>
        </w:rPr>
        <w:t>increased</w:t>
      </w:r>
      <w:r w:rsidRPr="00210024">
        <w:rPr>
          <w:rFonts w:ascii="Times New Roman" w:hAnsi="Times New Roman" w:cs="Times New Roman"/>
          <w:sz w:val="24"/>
          <w:szCs w:val="24"/>
        </w:rPr>
        <w:t xml:space="preserve"> by </w:t>
      </w:r>
      <w:r w:rsidR="00C82CF6">
        <w:rPr>
          <w:rFonts w:ascii="Times New Roman" w:hAnsi="Times New Roman" w:cs="Times New Roman"/>
          <w:sz w:val="24"/>
          <w:szCs w:val="24"/>
        </w:rPr>
        <w:t>119.0</w:t>
      </w:r>
      <w:r w:rsidRPr="00210024">
        <w:rPr>
          <w:rFonts w:ascii="Times New Roman" w:hAnsi="Times New Roman" w:cs="Times New Roman"/>
          <w:sz w:val="24"/>
          <w:szCs w:val="24"/>
        </w:rPr>
        <w:t xml:space="preserve">% in </w:t>
      </w:r>
      <w:r w:rsidR="0094572A" w:rsidRPr="00210024">
        <w:rPr>
          <w:rFonts w:ascii="Times New Roman" w:hAnsi="Times New Roman" w:cs="Times New Roman"/>
          <w:sz w:val="24"/>
          <w:szCs w:val="24"/>
        </w:rPr>
        <w:t>Gaza strip</w:t>
      </w:r>
      <w:r w:rsidRPr="00210024">
        <w:rPr>
          <w:rFonts w:ascii="Times New Roman" w:hAnsi="Times New Roman" w:cs="Times New Roman"/>
          <w:sz w:val="24"/>
          <w:szCs w:val="24"/>
        </w:rPr>
        <w:t>, followed by transport and storage</w:t>
      </w:r>
      <w:r w:rsidR="004264D6" w:rsidRPr="00210024">
        <w:rPr>
          <w:rFonts w:ascii="Times New Roman" w:hAnsi="Times New Roman" w:cs="Times New Roman"/>
          <w:sz w:val="24"/>
          <w:szCs w:val="24"/>
        </w:rPr>
        <w:t xml:space="preserve"> activity and</w:t>
      </w:r>
      <w:r w:rsidR="00C82CF6">
        <w:rPr>
          <w:rFonts w:ascii="Times New Roman" w:hAnsi="Times New Roman" w:cs="Times New Roman"/>
          <w:sz w:val="24"/>
          <w:szCs w:val="24"/>
        </w:rPr>
        <w:t xml:space="preserve"> agriculture.</w:t>
      </w:r>
    </w:p>
    <w:p w:rsidR="004A1979" w:rsidRDefault="004A1979" w:rsidP="00297186">
      <w:pPr>
        <w:spacing w:after="0"/>
        <w:jc w:val="both"/>
        <w:rPr>
          <w:rFonts w:ascii="Times New Roman" w:hAnsi="Times New Roman" w:cs="Times New Roman"/>
          <w:sz w:val="24"/>
          <w:szCs w:val="24"/>
        </w:rPr>
      </w:pPr>
    </w:p>
    <w:p w:rsidR="00FE6B5F" w:rsidRDefault="00B9201E" w:rsidP="000F156D">
      <w:pPr>
        <w:spacing w:after="0"/>
        <w:jc w:val="both"/>
        <w:rPr>
          <w:rFonts w:ascii="Times New Roman" w:hAnsi="Times New Roman" w:cs="Times New Roman"/>
          <w:sz w:val="24"/>
          <w:szCs w:val="24"/>
        </w:rPr>
      </w:pPr>
      <w:r w:rsidRPr="00842B9E">
        <w:rPr>
          <w:rFonts w:ascii="Times New Roman" w:hAnsi="Times New Roman" w:cs="Times New Roman"/>
          <w:b/>
          <w:bCs/>
          <w:sz w:val="24"/>
          <w:szCs w:val="24"/>
        </w:rPr>
        <w:t>As for</w:t>
      </w:r>
      <w:r w:rsidR="008D344E" w:rsidRPr="00842B9E">
        <w:rPr>
          <w:rFonts w:ascii="Times New Roman" w:hAnsi="Times New Roman" w:cs="Times New Roman"/>
          <w:b/>
          <w:bCs/>
          <w:sz w:val="24"/>
          <w:szCs w:val="24"/>
        </w:rPr>
        <w:t xml:space="preserve"> contribution of economic activities</w:t>
      </w:r>
      <w:r w:rsidRPr="00842B9E">
        <w:rPr>
          <w:rFonts w:ascii="Times New Roman" w:hAnsi="Times New Roman" w:cs="Times New Roman"/>
          <w:b/>
          <w:bCs/>
          <w:sz w:val="24"/>
          <w:szCs w:val="24"/>
        </w:rPr>
        <w:t xml:space="preserve">, as services activity in </w:t>
      </w:r>
      <w:r w:rsidR="000F156D">
        <w:rPr>
          <w:rFonts w:ascii="Times New Roman" w:hAnsi="Times New Roman" w:cs="Times New Roman"/>
          <w:b/>
          <w:bCs/>
          <w:sz w:val="24"/>
          <w:szCs w:val="24"/>
        </w:rPr>
        <w:t>the</w:t>
      </w:r>
      <w:r w:rsidR="008D344E" w:rsidRPr="00842B9E">
        <w:rPr>
          <w:rFonts w:ascii="Times New Roman" w:hAnsi="Times New Roman" w:cs="Times New Roman"/>
          <w:b/>
          <w:bCs/>
          <w:sz w:val="24"/>
          <w:szCs w:val="24"/>
        </w:rPr>
        <w:t xml:space="preserve"> Palestinian </w:t>
      </w:r>
      <w:r w:rsidR="002C7C30">
        <w:rPr>
          <w:rFonts w:ascii="Times New Roman" w:hAnsi="Times New Roman" w:cs="Times New Roman"/>
          <w:b/>
          <w:bCs/>
          <w:sz w:val="24"/>
          <w:szCs w:val="24"/>
        </w:rPr>
        <w:t>Territory</w:t>
      </w:r>
      <w:r w:rsidRPr="00842B9E">
        <w:rPr>
          <w:rFonts w:ascii="Times New Roman" w:hAnsi="Times New Roman" w:cs="Times New Roman"/>
          <w:b/>
          <w:bCs/>
          <w:sz w:val="24"/>
          <w:szCs w:val="24"/>
        </w:rPr>
        <w:t xml:space="preserve"> has the </w:t>
      </w:r>
      <w:r w:rsidR="008D344E" w:rsidRPr="00842B9E">
        <w:rPr>
          <w:rFonts w:ascii="Times New Roman" w:hAnsi="Times New Roman" w:cs="Times New Roman"/>
          <w:b/>
          <w:bCs/>
          <w:sz w:val="24"/>
          <w:szCs w:val="24"/>
        </w:rPr>
        <w:t xml:space="preserve">highest </w:t>
      </w:r>
      <w:r w:rsidRPr="00842B9E">
        <w:rPr>
          <w:rFonts w:ascii="Times New Roman" w:hAnsi="Times New Roman" w:cs="Times New Roman"/>
          <w:b/>
          <w:bCs/>
          <w:sz w:val="24"/>
          <w:szCs w:val="24"/>
        </w:rPr>
        <w:t>contribution rate</w:t>
      </w:r>
      <w:r w:rsidR="008D344E" w:rsidRPr="00842B9E">
        <w:rPr>
          <w:rFonts w:ascii="Times New Roman" w:hAnsi="Times New Roman" w:cs="Times New Roman"/>
          <w:b/>
          <w:bCs/>
          <w:sz w:val="24"/>
          <w:szCs w:val="24"/>
        </w:rPr>
        <w:t xml:space="preserve"> to GDP by 21.9%.</w:t>
      </w:r>
      <w:r w:rsidR="008D344E" w:rsidRPr="00210024">
        <w:rPr>
          <w:rFonts w:ascii="Times New Roman" w:hAnsi="Times New Roman" w:cs="Times New Roman"/>
          <w:sz w:val="24"/>
          <w:szCs w:val="24"/>
        </w:rPr>
        <w:t xml:space="preserve"> Followed by the activity of public administration and defense </w:t>
      </w:r>
      <w:r w:rsidRPr="00210024">
        <w:rPr>
          <w:rFonts w:ascii="Times New Roman" w:hAnsi="Times New Roman" w:cs="Times New Roman"/>
          <w:sz w:val="24"/>
          <w:szCs w:val="24"/>
        </w:rPr>
        <w:t xml:space="preserve">at </w:t>
      </w:r>
      <w:r w:rsidR="008D344E" w:rsidRPr="00210024">
        <w:rPr>
          <w:rFonts w:ascii="Times New Roman" w:hAnsi="Times New Roman" w:cs="Times New Roman"/>
          <w:sz w:val="24"/>
          <w:szCs w:val="24"/>
        </w:rPr>
        <w:t xml:space="preserve">(14.0%), mining and manufacturing </w:t>
      </w:r>
      <w:r w:rsidRPr="00210024">
        <w:rPr>
          <w:rFonts w:ascii="Times New Roman" w:hAnsi="Times New Roman" w:cs="Times New Roman"/>
          <w:sz w:val="24"/>
          <w:szCs w:val="24"/>
        </w:rPr>
        <w:t>activity that grew by 12.6%.</w:t>
      </w:r>
      <w:r w:rsidR="008D344E" w:rsidRPr="00210024">
        <w:rPr>
          <w:rFonts w:ascii="Times New Roman" w:hAnsi="Times New Roman" w:cs="Times New Roman"/>
          <w:sz w:val="24"/>
          <w:szCs w:val="24"/>
        </w:rPr>
        <w:t xml:space="preserve"> As for</w:t>
      </w:r>
      <w:r w:rsidRPr="00210024">
        <w:rPr>
          <w:rFonts w:ascii="Times New Roman" w:hAnsi="Times New Roman" w:cs="Times New Roman"/>
          <w:sz w:val="24"/>
          <w:szCs w:val="24"/>
        </w:rPr>
        <w:t xml:space="preserve"> activities of</w:t>
      </w:r>
      <w:r w:rsidR="008D344E" w:rsidRPr="00210024">
        <w:rPr>
          <w:rFonts w:ascii="Times New Roman" w:hAnsi="Times New Roman" w:cs="Times New Roman"/>
          <w:sz w:val="24"/>
          <w:szCs w:val="24"/>
        </w:rPr>
        <w:t xml:space="preserve"> construction </w:t>
      </w:r>
      <w:r w:rsidRPr="00210024">
        <w:rPr>
          <w:rFonts w:ascii="Times New Roman" w:hAnsi="Times New Roman" w:cs="Times New Roman"/>
          <w:sz w:val="24"/>
          <w:szCs w:val="24"/>
        </w:rPr>
        <w:t xml:space="preserve">and </w:t>
      </w:r>
      <w:r w:rsidR="008D344E" w:rsidRPr="00210024">
        <w:rPr>
          <w:rFonts w:ascii="Times New Roman" w:hAnsi="Times New Roman" w:cs="Times New Roman"/>
          <w:sz w:val="24"/>
          <w:szCs w:val="24"/>
        </w:rPr>
        <w:t>trade</w:t>
      </w:r>
      <w:r w:rsidRPr="00210024">
        <w:rPr>
          <w:rFonts w:ascii="Times New Roman" w:hAnsi="Times New Roman" w:cs="Times New Roman"/>
          <w:sz w:val="24"/>
          <w:szCs w:val="24"/>
        </w:rPr>
        <w:t>, their contribution</w:t>
      </w:r>
      <w:r w:rsidR="008D344E" w:rsidRPr="00210024">
        <w:rPr>
          <w:rFonts w:ascii="Times New Roman" w:hAnsi="Times New Roman" w:cs="Times New Roman"/>
          <w:sz w:val="24"/>
          <w:szCs w:val="24"/>
        </w:rPr>
        <w:t xml:space="preserve"> </w:t>
      </w:r>
      <w:r w:rsidRPr="00210024">
        <w:rPr>
          <w:rFonts w:ascii="Times New Roman" w:hAnsi="Times New Roman" w:cs="Times New Roman"/>
          <w:sz w:val="24"/>
          <w:szCs w:val="24"/>
        </w:rPr>
        <w:t xml:space="preserve">to GDP </w:t>
      </w:r>
      <w:r w:rsidR="008D344E" w:rsidRPr="00210024">
        <w:rPr>
          <w:rFonts w:ascii="Times New Roman" w:hAnsi="Times New Roman" w:cs="Times New Roman"/>
          <w:sz w:val="24"/>
          <w:szCs w:val="24"/>
        </w:rPr>
        <w:t>reached</w:t>
      </w:r>
      <w:r w:rsidRPr="00210024">
        <w:rPr>
          <w:rFonts w:ascii="Times New Roman" w:hAnsi="Times New Roman" w:cs="Times New Roman"/>
          <w:sz w:val="24"/>
          <w:szCs w:val="24"/>
        </w:rPr>
        <w:t xml:space="preserve"> 11.2% and</w:t>
      </w:r>
      <w:r w:rsidR="008D344E" w:rsidRPr="00210024">
        <w:rPr>
          <w:rFonts w:ascii="Times New Roman" w:hAnsi="Times New Roman" w:cs="Times New Roman"/>
          <w:sz w:val="24"/>
          <w:szCs w:val="24"/>
        </w:rPr>
        <w:t xml:space="preserve"> 9.3%, respectively.</w:t>
      </w:r>
    </w:p>
    <w:p w:rsidR="00B775F3" w:rsidRPr="00210024" w:rsidRDefault="008D344E" w:rsidP="0053226C">
      <w:pPr>
        <w:spacing w:after="0"/>
        <w:jc w:val="both"/>
        <w:rPr>
          <w:rFonts w:ascii="Times New Roman" w:hAnsi="Times New Roman" w:cs="Times New Roman"/>
          <w:sz w:val="24"/>
          <w:szCs w:val="24"/>
        </w:rPr>
      </w:pPr>
      <w:r w:rsidRPr="00210024">
        <w:rPr>
          <w:rFonts w:ascii="Times New Roman" w:hAnsi="Times New Roman" w:cs="Times New Roman"/>
          <w:sz w:val="24"/>
          <w:szCs w:val="24"/>
        </w:rPr>
        <w:br/>
      </w:r>
      <w:r w:rsidRPr="00D10B1C">
        <w:rPr>
          <w:rFonts w:ascii="Times New Roman" w:hAnsi="Times New Roman" w:cs="Times New Roman"/>
          <w:b/>
          <w:bCs/>
          <w:sz w:val="24"/>
          <w:szCs w:val="24"/>
        </w:rPr>
        <w:t xml:space="preserve">The </w:t>
      </w:r>
      <w:r w:rsidR="00616AE0" w:rsidRPr="00D10B1C">
        <w:rPr>
          <w:rFonts w:ascii="Times New Roman" w:hAnsi="Times New Roman" w:cs="Times New Roman"/>
          <w:b/>
          <w:bCs/>
          <w:sz w:val="24"/>
          <w:szCs w:val="24"/>
        </w:rPr>
        <w:t xml:space="preserve">economic activities </w:t>
      </w:r>
      <w:r w:rsidR="008868D1" w:rsidRPr="00D10B1C">
        <w:rPr>
          <w:rFonts w:ascii="Times New Roman" w:hAnsi="Times New Roman" w:cs="Times New Roman"/>
          <w:b/>
          <w:bCs/>
          <w:sz w:val="24"/>
          <w:szCs w:val="24"/>
        </w:rPr>
        <w:t xml:space="preserve">structure </w:t>
      </w:r>
      <w:r w:rsidR="00616AE0" w:rsidRPr="00D10B1C">
        <w:rPr>
          <w:rFonts w:ascii="Times New Roman" w:hAnsi="Times New Roman" w:cs="Times New Roman"/>
          <w:b/>
          <w:bCs/>
          <w:sz w:val="24"/>
          <w:szCs w:val="24"/>
        </w:rPr>
        <w:t xml:space="preserve">varied between </w:t>
      </w:r>
      <w:r w:rsidRPr="00D10B1C">
        <w:rPr>
          <w:rFonts w:ascii="Times New Roman" w:hAnsi="Times New Roman" w:cs="Times New Roman"/>
          <w:b/>
          <w:bCs/>
          <w:sz w:val="24"/>
          <w:szCs w:val="24"/>
        </w:rPr>
        <w:t xml:space="preserve">West Bank and </w:t>
      </w:r>
      <w:r w:rsidR="00616AE0" w:rsidRPr="00D10B1C">
        <w:rPr>
          <w:rFonts w:ascii="Times New Roman" w:hAnsi="Times New Roman" w:cs="Times New Roman"/>
          <w:b/>
          <w:bCs/>
          <w:sz w:val="24"/>
          <w:szCs w:val="24"/>
        </w:rPr>
        <w:t>Gaza Strip in 2011. Although services activity</w:t>
      </w:r>
      <w:r w:rsidRPr="00D10B1C">
        <w:rPr>
          <w:rFonts w:ascii="Times New Roman" w:hAnsi="Times New Roman" w:cs="Times New Roman"/>
          <w:b/>
          <w:bCs/>
          <w:sz w:val="24"/>
          <w:szCs w:val="24"/>
        </w:rPr>
        <w:t xml:space="preserve"> represents the </w:t>
      </w:r>
      <w:r w:rsidR="00616AE0" w:rsidRPr="00D10B1C">
        <w:rPr>
          <w:rFonts w:ascii="Times New Roman" w:hAnsi="Times New Roman" w:cs="Times New Roman"/>
          <w:b/>
          <w:bCs/>
          <w:sz w:val="24"/>
          <w:szCs w:val="24"/>
        </w:rPr>
        <w:t>largest share of GDP in both</w:t>
      </w:r>
      <w:r w:rsidRPr="00D10B1C">
        <w:rPr>
          <w:rFonts w:ascii="Times New Roman" w:hAnsi="Times New Roman" w:cs="Times New Roman"/>
          <w:b/>
          <w:bCs/>
          <w:sz w:val="24"/>
          <w:szCs w:val="24"/>
        </w:rPr>
        <w:t xml:space="preserve"> </w:t>
      </w:r>
      <w:r w:rsidR="00157E75" w:rsidRPr="00D10B1C">
        <w:rPr>
          <w:rFonts w:ascii="Times New Roman" w:hAnsi="Times New Roman" w:cs="Times New Roman"/>
          <w:b/>
          <w:bCs/>
          <w:sz w:val="24"/>
          <w:szCs w:val="24"/>
        </w:rPr>
        <w:t xml:space="preserve">of </w:t>
      </w:r>
      <w:r w:rsidRPr="00D10B1C">
        <w:rPr>
          <w:rFonts w:ascii="Times New Roman" w:hAnsi="Times New Roman" w:cs="Times New Roman"/>
          <w:b/>
          <w:bCs/>
          <w:sz w:val="24"/>
          <w:szCs w:val="24"/>
        </w:rPr>
        <w:t>West Bank and Gaza Strip,</w:t>
      </w:r>
      <w:r w:rsidR="00157E75" w:rsidRPr="00D10B1C">
        <w:rPr>
          <w:rFonts w:ascii="Times New Roman" w:hAnsi="Times New Roman" w:cs="Times New Roman"/>
          <w:b/>
          <w:bCs/>
          <w:sz w:val="24"/>
          <w:szCs w:val="24"/>
        </w:rPr>
        <w:t xml:space="preserve"> but it represents about one third of the GDP of Gaza</w:t>
      </w:r>
      <w:r w:rsidRPr="00D10B1C">
        <w:rPr>
          <w:rFonts w:ascii="Times New Roman" w:hAnsi="Times New Roman" w:cs="Times New Roman"/>
          <w:b/>
          <w:bCs/>
          <w:sz w:val="24"/>
          <w:szCs w:val="24"/>
        </w:rPr>
        <w:t xml:space="preserve"> Strip (31.3%), while th</w:t>
      </w:r>
      <w:r w:rsidR="00157E75" w:rsidRPr="00D10B1C">
        <w:rPr>
          <w:rFonts w:ascii="Times New Roman" w:hAnsi="Times New Roman" w:cs="Times New Roman"/>
          <w:b/>
          <w:bCs/>
          <w:sz w:val="24"/>
          <w:szCs w:val="24"/>
        </w:rPr>
        <w:t xml:space="preserve">e contribution of this activity reached at 17.9% of the GDP </w:t>
      </w:r>
      <w:r w:rsidR="00830F7E" w:rsidRPr="00D10B1C">
        <w:rPr>
          <w:rFonts w:ascii="Times New Roman" w:hAnsi="Times New Roman" w:cs="Times New Roman"/>
          <w:b/>
          <w:bCs/>
          <w:sz w:val="24"/>
          <w:szCs w:val="24"/>
        </w:rPr>
        <w:t>of West</w:t>
      </w:r>
      <w:r w:rsidRPr="00D10B1C">
        <w:rPr>
          <w:rFonts w:ascii="Times New Roman" w:hAnsi="Times New Roman" w:cs="Times New Roman"/>
          <w:b/>
          <w:bCs/>
          <w:sz w:val="24"/>
          <w:szCs w:val="24"/>
        </w:rPr>
        <w:t xml:space="preserve"> Bank</w:t>
      </w:r>
      <w:r w:rsidRPr="00210024">
        <w:rPr>
          <w:rFonts w:ascii="Times New Roman" w:hAnsi="Times New Roman" w:cs="Times New Roman"/>
          <w:sz w:val="24"/>
          <w:szCs w:val="24"/>
        </w:rPr>
        <w:t>. It also represents the activity of public administ</w:t>
      </w:r>
      <w:r w:rsidR="006E539C" w:rsidRPr="00210024">
        <w:rPr>
          <w:rFonts w:ascii="Times New Roman" w:hAnsi="Times New Roman" w:cs="Times New Roman"/>
          <w:sz w:val="24"/>
          <w:szCs w:val="24"/>
        </w:rPr>
        <w:t>ration and defense in</w:t>
      </w:r>
      <w:r w:rsidRPr="00210024">
        <w:rPr>
          <w:rFonts w:ascii="Times New Roman" w:hAnsi="Times New Roman" w:cs="Times New Roman"/>
          <w:sz w:val="24"/>
          <w:szCs w:val="24"/>
        </w:rPr>
        <w:t xml:space="preserve"> Gaza Strip </w:t>
      </w:r>
      <w:r w:rsidR="006E539C" w:rsidRPr="00210024">
        <w:rPr>
          <w:rFonts w:ascii="Times New Roman" w:hAnsi="Times New Roman" w:cs="Times New Roman"/>
          <w:sz w:val="24"/>
          <w:szCs w:val="24"/>
        </w:rPr>
        <w:t xml:space="preserve">at </w:t>
      </w:r>
      <w:r w:rsidRPr="00210024">
        <w:rPr>
          <w:rFonts w:ascii="Times New Roman" w:hAnsi="Times New Roman" w:cs="Times New Roman"/>
          <w:sz w:val="24"/>
          <w:szCs w:val="24"/>
        </w:rPr>
        <w:t xml:space="preserve">23.9% </w:t>
      </w:r>
      <w:r w:rsidR="006E539C" w:rsidRPr="00210024">
        <w:rPr>
          <w:rFonts w:ascii="Times New Roman" w:hAnsi="Times New Roman" w:cs="Times New Roman"/>
          <w:sz w:val="24"/>
          <w:szCs w:val="24"/>
        </w:rPr>
        <w:t>against to 9.9% in</w:t>
      </w:r>
      <w:r w:rsidRPr="00210024">
        <w:rPr>
          <w:rFonts w:ascii="Times New Roman" w:hAnsi="Times New Roman" w:cs="Times New Roman"/>
          <w:sz w:val="24"/>
          <w:szCs w:val="24"/>
        </w:rPr>
        <w:t xml:space="preserve"> West Bank, and the constructio</w:t>
      </w:r>
      <w:r w:rsidR="006E539C" w:rsidRPr="00210024">
        <w:rPr>
          <w:rFonts w:ascii="Times New Roman" w:hAnsi="Times New Roman" w:cs="Times New Roman"/>
          <w:sz w:val="24"/>
          <w:szCs w:val="24"/>
        </w:rPr>
        <w:t>n sector represents 14.</w:t>
      </w:r>
      <w:r w:rsidR="0053226C">
        <w:rPr>
          <w:rFonts w:ascii="Times New Roman" w:hAnsi="Times New Roman" w:cs="Times New Roman"/>
          <w:sz w:val="24"/>
          <w:szCs w:val="24"/>
        </w:rPr>
        <w:t>1</w:t>
      </w:r>
      <w:r w:rsidR="006E539C" w:rsidRPr="00210024">
        <w:rPr>
          <w:rFonts w:ascii="Times New Roman" w:hAnsi="Times New Roman" w:cs="Times New Roman"/>
          <w:sz w:val="24"/>
          <w:szCs w:val="24"/>
        </w:rPr>
        <w:t xml:space="preserve">% </w:t>
      </w:r>
      <w:r w:rsidR="001F0349" w:rsidRPr="00210024">
        <w:rPr>
          <w:rFonts w:ascii="Times New Roman" w:hAnsi="Times New Roman" w:cs="Times New Roman"/>
          <w:sz w:val="24"/>
          <w:szCs w:val="24"/>
        </w:rPr>
        <w:t>in Gaza</w:t>
      </w:r>
      <w:r w:rsidR="006E539C" w:rsidRPr="00210024">
        <w:rPr>
          <w:rFonts w:ascii="Times New Roman" w:hAnsi="Times New Roman" w:cs="Times New Roman"/>
          <w:sz w:val="24"/>
          <w:szCs w:val="24"/>
        </w:rPr>
        <w:t xml:space="preserve"> Strip compared to </w:t>
      </w:r>
      <w:r w:rsidR="0053226C">
        <w:rPr>
          <w:rFonts w:ascii="Times New Roman" w:hAnsi="Times New Roman" w:cs="Times New Roman"/>
          <w:sz w:val="24"/>
          <w:szCs w:val="24"/>
        </w:rPr>
        <w:t>10.0</w:t>
      </w:r>
      <w:r w:rsidR="006E539C" w:rsidRPr="00210024">
        <w:rPr>
          <w:rFonts w:ascii="Times New Roman" w:hAnsi="Times New Roman" w:cs="Times New Roman"/>
          <w:sz w:val="24"/>
          <w:szCs w:val="24"/>
        </w:rPr>
        <w:t xml:space="preserve">% in </w:t>
      </w:r>
      <w:r w:rsidRPr="00210024">
        <w:rPr>
          <w:rFonts w:ascii="Times New Roman" w:hAnsi="Times New Roman" w:cs="Times New Roman"/>
          <w:sz w:val="24"/>
          <w:szCs w:val="24"/>
        </w:rPr>
        <w:t xml:space="preserve">West Bank. </w:t>
      </w:r>
      <w:r w:rsidR="001F0349" w:rsidRPr="00210024">
        <w:rPr>
          <w:rFonts w:ascii="Times New Roman" w:hAnsi="Times New Roman" w:cs="Times New Roman"/>
          <w:sz w:val="24"/>
          <w:szCs w:val="24"/>
        </w:rPr>
        <w:t>The a</w:t>
      </w:r>
      <w:r w:rsidRPr="00210024">
        <w:rPr>
          <w:rFonts w:ascii="Times New Roman" w:hAnsi="Times New Roman" w:cs="Times New Roman"/>
          <w:sz w:val="24"/>
          <w:szCs w:val="24"/>
        </w:rPr>
        <w:t xml:space="preserve">ctivity </w:t>
      </w:r>
      <w:r w:rsidR="001F0349" w:rsidRPr="00210024">
        <w:rPr>
          <w:rFonts w:ascii="Times New Roman" w:hAnsi="Times New Roman" w:cs="Times New Roman"/>
          <w:sz w:val="24"/>
          <w:szCs w:val="24"/>
        </w:rPr>
        <w:t>of mining and manufacturing industry, in turn, contributes</w:t>
      </w:r>
      <w:r w:rsidRPr="00210024">
        <w:rPr>
          <w:rFonts w:ascii="Times New Roman" w:hAnsi="Times New Roman" w:cs="Times New Roman"/>
          <w:sz w:val="24"/>
          <w:szCs w:val="24"/>
        </w:rPr>
        <w:t xml:space="preserve"> by 14.2% of the</w:t>
      </w:r>
      <w:r w:rsidR="001F0349" w:rsidRPr="00210024">
        <w:rPr>
          <w:rFonts w:ascii="Times New Roman" w:hAnsi="Times New Roman" w:cs="Times New Roman"/>
          <w:sz w:val="24"/>
          <w:szCs w:val="24"/>
        </w:rPr>
        <w:t xml:space="preserve"> GDP of</w:t>
      </w:r>
      <w:r w:rsidRPr="00210024">
        <w:rPr>
          <w:rFonts w:ascii="Times New Roman" w:hAnsi="Times New Roman" w:cs="Times New Roman"/>
          <w:sz w:val="24"/>
          <w:szCs w:val="24"/>
        </w:rPr>
        <w:t xml:space="preserve"> Wes</w:t>
      </w:r>
      <w:r w:rsidR="001F0349" w:rsidRPr="00210024">
        <w:rPr>
          <w:rFonts w:ascii="Times New Roman" w:hAnsi="Times New Roman" w:cs="Times New Roman"/>
          <w:sz w:val="24"/>
          <w:szCs w:val="24"/>
        </w:rPr>
        <w:t>t Bank compared with 8.8% in</w:t>
      </w:r>
      <w:r w:rsidRPr="00210024">
        <w:rPr>
          <w:rFonts w:ascii="Times New Roman" w:hAnsi="Times New Roman" w:cs="Times New Roman"/>
          <w:sz w:val="24"/>
          <w:szCs w:val="24"/>
        </w:rPr>
        <w:t xml:space="preserve"> Gaza Strip, and the sector </w:t>
      </w:r>
      <w:r w:rsidR="00CA5DA0" w:rsidRPr="00210024">
        <w:rPr>
          <w:rFonts w:ascii="Times New Roman" w:hAnsi="Times New Roman" w:cs="Times New Roman"/>
          <w:sz w:val="24"/>
          <w:szCs w:val="24"/>
        </w:rPr>
        <w:t>information</w:t>
      </w:r>
      <w:r w:rsidRPr="00210024">
        <w:rPr>
          <w:rFonts w:ascii="Times New Roman" w:hAnsi="Times New Roman" w:cs="Times New Roman"/>
          <w:sz w:val="24"/>
          <w:szCs w:val="24"/>
        </w:rPr>
        <w:t xml:space="preserve"> and communications </w:t>
      </w:r>
      <w:r w:rsidR="00CA5DA0" w:rsidRPr="00210024">
        <w:rPr>
          <w:rFonts w:ascii="Times New Roman" w:hAnsi="Times New Roman" w:cs="Times New Roman"/>
          <w:sz w:val="24"/>
          <w:szCs w:val="24"/>
        </w:rPr>
        <w:t xml:space="preserve">represents a share of 8.9% of GDP in </w:t>
      </w:r>
      <w:r w:rsidRPr="00210024">
        <w:rPr>
          <w:rFonts w:ascii="Times New Roman" w:hAnsi="Times New Roman" w:cs="Times New Roman"/>
          <w:sz w:val="24"/>
          <w:szCs w:val="24"/>
        </w:rPr>
        <w:t>Wes</w:t>
      </w:r>
      <w:r w:rsidR="00CA5DA0" w:rsidRPr="00210024">
        <w:rPr>
          <w:rFonts w:ascii="Times New Roman" w:hAnsi="Times New Roman" w:cs="Times New Roman"/>
          <w:sz w:val="24"/>
          <w:szCs w:val="24"/>
        </w:rPr>
        <w:t>t Bank compared with 0.3% in</w:t>
      </w:r>
      <w:r w:rsidRPr="00210024">
        <w:rPr>
          <w:rFonts w:ascii="Times New Roman" w:hAnsi="Times New Roman" w:cs="Times New Roman"/>
          <w:sz w:val="24"/>
          <w:szCs w:val="24"/>
        </w:rPr>
        <w:t xml:space="preserve"> Gaza </w:t>
      </w:r>
      <w:r w:rsidR="008A5AF7" w:rsidRPr="00210024">
        <w:rPr>
          <w:rFonts w:ascii="Times New Roman" w:hAnsi="Times New Roman" w:cs="Times New Roman"/>
          <w:sz w:val="24"/>
          <w:szCs w:val="24"/>
        </w:rPr>
        <w:t xml:space="preserve">Strip. The contribution of </w:t>
      </w:r>
      <w:r w:rsidR="00DF3036" w:rsidRPr="00210024">
        <w:rPr>
          <w:rFonts w:ascii="Times New Roman" w:hAnsi="Times New Roman" w:cs="Times New Roman"/>
          <w:sz w:val="24"/>
          <w:szCs w:val="24"/>
        </w:rPr>
        <w:t>agriculture</w:t>
      </w:r>
      <w:r w:rsidRPr="00210024">
        <w:rPr>
          <w:rFonts w:ascii="Times New Roman" w:hAnsi="Times New Roman" w:cs="Times New Roman"/>
          <w:sz w:val="24"/>
          <w:szCs w:val="24"/>
        </w:rPr>
        <w:t xml:space="preserve"> </w:t>
      </w:r>
      <w:r w:rsidR="00DF3036" w:rsidRPr="00210024">
        <w:rPr>
          <w:rFonts w:ascii="Times New Roman" w:hAnsi="Times New Roman" w:cs="Times New Roman"/>
          <w:sz w:val="24"/>
          <w:szCs w:val="24"/>
        </w:rPr>
        <w:t xml:space="preserve">in </w:t>
      </w:r>
      <w:r w:rsidRPr="00210024">
        <w:rPr>
          <w:rFonts w:ascii="Times New Roman" w:hAnsi="Times New Roman" w:cs="Times New Roman"/>
          <w:sz w:val="24"/>
          <w:szCs w:val="24"/>
        </w:rPr>
        <w:t xml:space="preserve">GDP </w:t>
      </w:r>
      <w:r w:rsidR="00DF3036" w:rsidRPr="00210024">
        <w:rPr>
          <w:rFonts w:ascii="Times New Roman" w:hAnsi="Times New Roman" w:cs="Times New Roman"/>
          <w:sz w:val="24"/>
          <w:szCs w:val="24"/>
        </w:rPr>
        <w:t>of</w:t>
      </w:r>
      <w:r w:rsidRPr="00210024">
        <w:rPr>
          <w:rFonts w:ascii="Times New Roman" w:hAnsi="Times New Roman" w:cs="Times New Roman"/>
          <w:sz w:val="24"/>
          <w:szCs w:val="24"/>
        </w:rPr>
        <w:t xml:space="preserve"> Gaza Strip</w:t>
      </w:r>
      <w:r w:rsidR="008A5AF7" w:rsidRPr="00210024">
        <w:rPr>
          <w:rFonts w:ascii="Times New Roman" w:hAnsi="Times New Roman" w:cs="Times New Roman"/>
          <w:sz w:val="24"/>
          <w:szCs w:val="24"/>
        </w:rPr>
        <w:t xml:space="preserve"> reached</w:t>
      </w:r>
      <w:r w:rsidRPr="00210024">
        <w:rPr>
          <w:rFonts w:ascii="Times New Roman" w:hAnsi="Times New Roman" w:cs="Times New Roman"/>
          <w:sz w:val="24"/>
          <w:szCs w:val="24"/>
        </w:rPr>
        <w:t xml:space="preserve"> 6.8% </w:t>
      </w:r>
      <w:r w:rsidR="008A5AF7" w:rsidRPr="00210024">
        <w:rPr>
          <w:rFonts w:ascii="Times New Roman" w:hAnsi="Times New Roman" w:cs="Times New Roman"/>
          <w:sz w:val="24"/>
          <w:szCs w:val="24"/>
        </w:rPr>
        <w:t>against to 4.9% in</w:t>
      </w:r>
      <w:r w:rsidRPr="00210024">
        <w:rPr>
          <w:rFonts w:ascii="Times New Roman" w:hAnsi="Times New Roman" w:cs="Times New Roman"/>
          <w:sz w:val="24"/>
          <w:szCs w:val="24"/>
        </w:rPr>
        <w:t xml:space="preserve"> West Bank.</w:t>
      </w:r>
    </w:p>
    <w:p w:rsidR="009D78AB" w:rsidRPr="00210024" w:rsidRDefault="009D78AB" w:rsidP="007A7FF4">
      <w:pPr>
        <w:spacing w:after="0"/>
        <w:jc w:val="both"/>
        <w:rPr>
          <w:rFonts w:ascii="Times New Roman" w:hAnsi="Times New Roman" w:cs="Times New Roman"/>
          <w:sz w:val="24"/>
          <w:szCs w:val="24"/>
        </w:rPr>
      </w:pPr>
    </w:p>
    <w:tbl>
      <w:tblPr>
        <w:bidiVisual/>
        <w:tblW w:w="10109" w:type="dxa"/>
        <w:jc w:val="center"/>
        <w:tblInd w:w="173" w:type="dxa"/>
        <w:tblLook w:val="04A0"/>
      </w:tblPr>
      <w:tblGrid>
        <w:gridCol w:w="5226"/>
        <w:gridCol w:w="5136"/>
      </w:tblGrid>
      <w:tr w:rsidR="00081778" w:rsidRPr="00210024" w:rsidTr="00D10B1C">
        <w:trPr>
          <w:trHeight w:val="4023"/>
          <w:jc w:val="center"/>
        </w:trPr>
        <w:tc>
          <w:tcPr>
            <w:tcW w:w="5003" w:type="dxa"/>
          </w:tcPr>
          <w:p w:rsidR="00081778" w:rsidRPr="00210024" w:rsidRDefault="00081778" w:rsidP="00DA653C">
            <w:pPr>
              <w:spacing w:after="0"/>
              <w:jc w:val="center"/>
              <w:textAlignment w:val="top"/>
              <w:rPr>
                <w:rFonts w:ascii="Times New Roman" w:hAnsi="Times New Roman" w:cs="Times New Roman"/>
                <w:b/>
                <w:bCs/>
              </w:rPr>
            </w:pPr>
            <w:r w:rsidRPr="00210024">
              <w:rPr>
                <w:rFonts w:ascii="Times New Roman" w:hAnsi="Times New Roman" w:cs="Times New Roman"/>
                <w:b/>
                <w:bCs/>
              </w:rPr>
              <w:t xml:space="preserve">Figure </w:t>
            </w:r>
            <w:r w:rsidR="00DA653C">
              <w:rPr>
                <w:rFonts w:ascii="Times New Roman" w:hAnsi="Times New Roman" w:cs="Times New Roman"/>
                <w:b/>
                <w:bCs/>
              </w:rPr>
              <w:t>4</w:t>
            </w:r>
            <w:r w:rsidRPr="00210024">
              <w:rPr>
                <w:rFonts w:ascii="Times New Roman" w:hAnsi="Times New Roman" w:cs="Times New Roman"/>
                <w:b/>
                <w:bCs/>
              </w:rPr>
              <w:t>: Contribution of Economic Activities in Gross Domestic Product</w:t>
            </w:r>
            <w:r w:rsidR="009179BD">
              <w:rPr>
                <w:rFonts w:ascii="Times New Roman" w:hAnsi="Times New Roman" w:cs="Times New Roman"/>
                <w:b/>
                <w:bCs/>
              </w:rPr>
              <w:t xml:space="preserve"> in the</w:t>
            </w:r>
            <w:r w:rsidRPr="00210024">
              <w:rPr>
                <w:rFonts w:ascii="Times New Roman" w:hAnsi="Times New Roman" w:cs="Times New Roman"/>
                <w:b/>
                <w:bCs/>
              </w:rPr>
              <w:t xml:space="preserve"> West Bank, 2011</w:t>
            </w:r>
          </w:p>
          <w:p w:rsidR="00081778" w:rsidRPr="00210024" w:rsidRDefault="00081778" w:rsidP="007A7FF4">
            <w:pPr>
              <w:spacing w:after="0"/>
              <w:jc w:val="both"/>
              <w:textAlignment w:val="top"/>
              <w:rPr>
                <w:rFonts w:ascii="Times New Roman" w:hAnsi="Times New Roman" w:cs="Times New Roman"/>
                <w:b/>
                <w:bCs/>
                <w:rtl/>
              </w:rPr>
            </w:pPr>
            <w:r w:rsidRPr="00210024">
              <w:rPr>
                <w:rFonts w:ascii="Times New Roman" w:hAnsi="Times New Roman" w:cs="Times New Roman"/>
                <w:b/>
                <w:bCs/>
                <w:noProof/>
              </w:rPr>
              <w:drawing>
                <wp:inline distT="0" distB="0" distL="0" distR="0">
                  <wp:extent cx="3138218" cy="2234241"/>
                  <wp:effectExtent l="19050" t="0" r="24082" b="0"/>
                  <wp:docPr id="10"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5106" w:type="dxa"/>
          </w:tcPr>
          <w:p w:rsidR="00081778" w:rsidRPr="00210024" w:rsidRDefault="00081778" w:rsidP="00DA653C">
            <w:pPr>
              <w:spacing w:after="0"/>
              <w:jc w:val="center"/>
              <w:rPr>
                <w:rFonts w:ascii="Times New Roman" w:hAnsi="Times New Roman" w:cs="Times New Roman"/>
                <w:b/>
                <w:bCs/>
                <w:rtl/>
              </w:rPr>
            </w:pPr>
            <w:r w:rsidRPr="00210024">
              <w:rPr>
                <w:rFonts w:ascii="Times New Roman" w:hAnsi="Times New Roman" w:cs="Times New Roman"/>
                <w:b/>
                <w:bCs/>
              </w:rPr>
              <w:t xml:space="preserve">Figure </w:t>
            </w:r>
            <w:r w:rsidR="00DA653C">
              <w:rPr>
                <w:rFonts w:ascii="Times New Roman" w:hAnsi="Times New Roman" w:cs="Times New Roman"/>
                <w:b/>
                <w:bCs/>
              </w:rPr>
              <w:t>3</w:t>
            </w:r>
            <w:r w:rsidRPr="00210024">
              <w:rPr>
                <w:rFonts w:ascii="Times New Roman" w:hAnsi="Times New Roman" w:cs="Times New Roman"/>
                <w:b/>
                <w:bCs/>
              </w:rPr>
              <w:t>: Contribution of Economic Activities in Gross Domestic Product</w:t>
            </w:r>
            <w:r w:rsidR="009179BD">
              <w:rPr>
                <w:rFonts w:ascii="Times New Roman" w:hAnsi="Times New Roman" w:cs="Times New Roman"/>
                <w:b/>
                <w:bCs/>
              </w:rPr>
              <w:t xml:space="preserve"> in</w:t>
            </w:r>
            <w:r w:rsidRPr="00210024">
              <w:rPr>
                <w:rFonts w:ascii="Times New Roman" w:hAnsi="Times New Roman" w:cs="Times New Roman"/>
                <w:b/>
                <w:bCs/>
              </w:rPr>
              <w:t xml:space="preserve"> Gaza Strip, 2011</w:t>
            </w:r>
          </w:p>
          <w:p w:rsidR="00081778" w:rsidRPr="00210024" w:rsidRDefault="00081778" w:rsidP="007A7FF4">
            <w:pPr>
              <w:spacing w:after="0"/>
              <w:jc w:val="both"/>
              <w:rPr>
                <w:rFonts w:ascii="Times New Roman" w:hAnsi="Times New Roman" w:cs="Times New Roman"/>
                <w:rtl/>
                <w:lang w:val="en-GB"/>
              </w:rPr>
            </w:pPr>
            <w:r w:rsidRPr="00210024">
              <w:rPr>
                <w:rFonts w:ascii="Times New Roman" w:hAnsi="Times New Roman" w:cs="Times New Roman"/>
                <w:noProof/>
              </w:rPr>
              <w:drawing>
                <wp:inline distT="0" distB="0" distL="0" distR="0">
                  <wp:extent cx="3086196" cy="2184124"/>
                  <wp:effectExtent l="19050" t="0" r="18954" b="6626"/>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9D78AB" w:rsidRPr="00210024" w:rsidRDefault="008D344E" w:rsidP="007A7FF4">
      <w:pPr>
        <w:spacing w:after="0"/>
        <w:jc w:val="both"/>
        <w:rPr>
          <w:rFonts w:ascii="Times New Roman" w:hAnsi="Times New Roman" w:cs="Times New Roman"/>
          <w:sz w:val="24"/>
          <w:szCs w:val="24"/>
        </w:rPr>
      </w:pPr>
      <w:r w:rsidRPr="00210024">
        <w:rPr>
          <w:rFonts w:ascii="Times New Roman" w:hAnsi="Times New Roman" w:cs="Times New Roman"/>
          <w:sz w:val="24"/>
          <w:szCs w:val="24"/>
        </w:rPr>
        <w:br/>
      </w:r>
    </w:p>
    <w:p w:rsidR="007A7FF4" w:rsidRDefault="008D344E" w:rsidP="00FE6B5F">
      <w:pPr>
        <w:spacing w:after="0"/>
        <w:jc w:val="both"/>
        <w:rPr>
          <w:rFonts w:ascii="Times New Roman" w:hAnsi="Times New Roman" w:cs="Times New Roman"/>
          <w:b/>
          <w:bCs/>
          <w:sz w:val="24"/>
          <w:szCs w:val="24"/>
        </w:rPr>
      </w:pPr>
      <w:r w:rsidRPr="00210024">
        <w:rPr>
          <w:rFonts w:ascii="Times New Roman" w:hAnsi="Times New Roman" w:cs="Times New Roman"/>
          <w:sz w:val="24"/>
          <w:szCs w:val="24"/>
        </w:rPr>
        <w:br/>
      </w:r>
    </w:p>
    <w:p w:rsidR="00FE6B5F" w:rsidRDefault="00FE6B5F" w:rsidP="00FE6B5F">
      <w:pPr>
        <w:spacing w:after="0"/>
        <w:jc w:val="both"/>
        <w:rPr>
          <w:rFonts w:ascii="Times New Roman" w:hAnsi="Times New Roman" w:cs="Times New Roman"/>
          <w:b/>
          <w:bCs/>
          <w:sz w:val="24"/>
          <w:szCs w:val="24"/>
        </w:rPr>
      </w:pPr>
    </w:p>
    <w:p w:rsidR="00FE6B5F" w:rsidRDefault="00FE6B5F" w:rsidP="00FE6B5F">
      <w:pPr>
        <w:spacing w:after="0"/>
        <w:jc w:val="both"/>
        <w:rPr>
          <w:rFonts w:ascii="Times New Roman" w:hAnsi="Times New Roman" w:cs="Times New Roman"/>
          <w:b/>
          <w:bCs/>
          <w:sz w:val="24"/>
          <w:szCs w:val="24"/>
        </w:rPr>
      </w:pPr>
    </w:p>
    <w:p w:rsidR="00FE6B5F" w:rsidRDefault="00FE6B5F" w:rsidP="00FE6B5F">
      <w:pPr>
        <w:spacing w:after="0"/>
        <w:jc w:val="both"/>
        <w:rPr>
          <w:rFonts w:ascii="Times New Roman" w:hAnsi="Times New Roman" w:cs="Times New Roman"/>
          <w:b/>
          <w:bCs/>
          <w:sz w:val="24"/>
          <w:szCs w:val="24"/>
        </w:rPr>
      </w:pPr>
    </w:p>
    <w:p w:rsidR="00EE7F53" w:rsidRDefault="00EE7F53" w:rsidP="00FE6B5F">
      <w:pPr>
        <w:spacing w:after="0"/>
        <w:jc w:val="both"/>
        <w:rPr>
          <w:rFonts w:ascii="Times New Roman" w:hAnsi="Times New Roman" w:cs="Times New Roman"/>
          <w:b/>
          <w:bCs/>
          <w:sz w:val="24"/>
          <w:szCs w:val="24"/>
        </w:rPr>
      </w:pPr>
    </w:p>
    <w:p w:rsidR="00FE6B5F" w:rsidRDefault="00FE6B5F" w:rsidP="00FE6B5F">
      <w:pPr>
        <w:spacing w:after="0"/>
        <w:jc w:val="both"/>
        <w:rPr>
          <w:rFonts w:ascii="Times New Roman" w:hAnsi="Times New Roman" w:cs="Times New Roman"/>
          <w:b/>
          <w:bCs/>
          <w:sz w:val="24"/>
          <w:szCs w:val="24"/>
        </w:rPr>
      </w:pPr>
    </w:p>
    <w:p w:rsidR="0015694C" w:rsidRDefault="0015694C" w:rsidP="00FE6B5F">
      <w:pPr>
        <w:spacing w:after="0"/>
        <w:jc w:val="both"/>
        <w:rPr>
          <w:rFonts w:ascii="Times New Roman" w:hAnsi="Times New Roman" w:cs="Times New Roman"/>
          <w:b/>
          <w:bCs/>
          <w:sz w:val="24"/>
          <w:szCs w:val="24"/>
        </w:rPr>
      </w:pPr>
    </w:p>
    <w:p w:rsidR="009D78AB" w:rsidRPr="00210024" w:rsidRDefault="008D344E" w:rsidP="007A7FF4">
      <w:pPr>
        <w:spacing w:after="0"/>
        <w:jc w:val="both"/>
        <w:rPr>
          <w:rFonts w:ascii="Times New Roman" w:hAnsi="Times New Roman" w:cs="Times New Roman"/>
          <w:b/>
          <w:bCs/>
          <w:sz w:val="24"/>
          <w:szCs w:val="24"/>
        </w:rPr>
      </w:pPr>
      <w:r w:rsidRPr="00210024">
        <w:rPr>
          <w:rFonts w:ascii="Times New Roman" w:hAnsi="Times New Roman" w:cs="Times New Roman"/>
          <w:b/>
          <w:bCs/>
          <w:sz w:val="24"/>
          <w:szCs w:val="24"/>
        </w:rPr>
        <w:lastRenderedPageBreak/>
        <w:t>2</w:t>
      </w:r>
      <w:r w:rsidR="0053607E" w:rsidRPr="00210024">
        <w:rPr>
          <w:rFonts w:ascii="Times New Roman" w:hAnsi="Times New Roman" w:cs="Times New Roman"/>
          <w:b/>
          <w:bCs/>
          <w:sz w:val="24"/>
          <w:szCs w:val="24"/>
        </w:rPr>
        <w:t>–</w:t>
      </w:r>
      <w:r w:rsidR="00081778" w:rsidRPr="00210024">
        <w:rPr>
          <w:rFonts w:ascii="Times New Roman" w:hAnsi="Times New Roman" w:cs="Times New Roman"/>
          <w:b/>
          <w:bCs/>
          <w:sz w:val="24"/>
          <w:szCs w:val="24"/>
        </w:rPr>
        <w:t xml:space="preserve">The labor </w:t>
      </w:r>
      <w:r w:rsidRPr="00210024">
        <w:rPr>
          <w:rFonts w:ascii="Times New Roman" w:hAnsi="Times New Roman" w:cs="Times New Roman"/>
          <w:b/>
          <w:bCs/>
          <w:sz w:val="24"/>
          <w:szCs w:val="24"/>
        </w:rPr>
        <w:t>market</w:t>
      </w:r>
    </w:p>
    <w:p w:rsidR="00976061" w:rsidRDefault="00B23F32" w:rsidP="00940DEB">
      <w:pPr>
        <w:spacing w:after="0"/>
        <w:jc w:val="both"/>
        <w:rPr>
          <w:rFonts w:ascii="Times New Roman" w:hAnsi="Times New Roman" w:cs="Times New Roman"/>
          <w:b/>
          <w:bCs/>
          <w:sz w:val="24"/>
          <w:szCs w:val="24"/>
        </w:rPr>
      </w:pPr>
      <w:r w:rsidRPr="00210024">
        <w:rPr>
          <w:rFonts w:ascii="Times New Roman" w:hAnsi="Times New Roman" w:cs="Times New Roman"/>
          <w:sz w:val="24"/>
          <w:szCs w:val="24"/>
        </w:rPr>
        <w:t>Labor is</w:t>
      </w:r>
      <w:r w:rsidR="008D344E" w:rsidRPr="00210024">
        <w:rPr>
          <w:rFonts w:ascii="Times New Roman" w:hAnsi="Times New Roman" w:cs="Times New Roman"/>
          <w:sz w:val="24"/>
          <w:szCs w:val="24"/>
        </w:rPr>
        <w:t xml:space="preserve"> </w:t>
      </w:r>
      <w:r w:rsidRPr="00210024">
        <w:rPr>
          <w:rFonts w:ascii="Times New Roman" w:hAnsi="Times New Roman" w:cs="Times New Roman"/>
          <w:sz w:val="24"/>
          <w:szCs w:val="24"/>
        </w:rPr>
        <w:t>considered</w:t>
      </w:r>
      <w:r w:rsidR="008D344E" w:rsidRPr="00210024">
        <w:rPr>
          <w:rFonts w:ascii="Times New Roman" w:hAnsi="Times New Roman" w:cs="Times New Roman"/>
          <w:sz w:val="24"/>
          <w:szCs w:val="24"/>
        </w:rPr>
        <w:t xml:space="preserve"> as one of the most import</w:t>
      </w:r>
      <w:r w:rsidRPr="00210024">
        <w:rPr>
          <w:rFonts w:ascii="Times New Roman" w:hAnsi="Times New Roman" w:cs="Times New Roman"/>
          <w:sz w:val="24"/>
          <w:szCs w:val="24"/>
        </w:rPr>
        <w:t>ant factors of production in</w:t>
      </w:r>
      <w:r w:rsidR="008D344E" w:rsidRPr="00210024">
        <w:rPr>
          <w:rFonts w:ascii="Times New Roman" w:hAnsi="Times New Roman" w:cs="Times New Roman"/>
          <w:sz w:val="24"/>
          <w:szCs w:val="24"/>
        </w:rPr>
        <w:t xml:space="preserve"> Palestinian economy</w:t>
      </w:r>
      <w:r w:rsidR="008D344E" w:rsidRPr="00210024">
        <w:rPr>
          <w:rFonts w:ascii="Times New Roman" w:hAnsi="Times New Roman" w:cs="Times New Roman"/>
          <w:color w:val="FF0000"/>
          <w:sz w:val="24"/>
          <w:szCs w:val="24"/>
        </w:rPr>
        <w:t xml:space="preserve"> </w:t>
      </w:r>
      <w:r w:rsidR="008D344E" w:rsidRPr="00210024">
        <w:rPr>
          <w:rFonts w:ascii="Times New Roman" w:hAnsi="Times New Roman" w:cs="Times New Roman"/>
          <w:sz w:val="24"/>
          <w:szCs w:val="24"/>
        </w:rPr>
        <w:t>in the face of limited natural resources and Israel's control o</w:t>
      </w:r>
      <w:r w:rsidRPr="00210024">
        <w:rPr>
          <w:rFonts w:ascii="Times New Roman" w:hAnsi="Times New Roman" w:cs="Times New Roman"/>
          <w:sz w:val="24"/>
          <w:szCs w:val="24"/>
        </w:rPr>
        <w:t>ver</w:t>
      </w:r>
      <w:r w:rsidR="008D344E" w:rsidRPr="00210024">
        <w:rPr>
          <w:rFonts w:ascii="Times New Roman" w:hAnsi="Times New Roman" w:cs="Times New Roman"/>
          <w:sz w:val="24"/>
          <w:szCs w:val="24"/>
        </w:rPr>
        <w:t xml:space="preserve"> lan</w:t>
      </w:r>
      <w:r w:rsidR="009D78AB" w:rsidRPr="00210024">
        <w:rPr>
          <w:rFonts w:ascii="Times New Roman" w:hAnsi="Times New Roman" w:cs="Times New Roman"/>
          <w:sz w:val="24"/>
          <w:szCs w:val="24"/>
        </w:rPr>
        <w:t>d, water and restrictions on</w:t>
      </w:r>
      <w:r w:rsidR="008D344E" w:rsidRPr="00210024">
        <w:rPr>
          <w:rFonts w:ascii="Times New Roman" w:hAnsi="Times New Roman" w:cs="Times New Roman"/>
          <w:sz w:val="24"/>
          <w:szCs w:val="24"/>
        </w:rPr>
        <w:t xml:space="preserve"> </w:t>
      </w:r>
      <w:r w:rsidRPr="00210024">
        <w:rPr>
          <w:rFonts w:ascii="Times New Roman" w:hAnsi="Times New Roman" w:cs="Times New Roman"/>
          <w:sz w:val="24"/>
          <w:szCs w:val="24"/>
        </w:rPr>
        <w:t xml:space="preserve">the </w:t>
      </w:r>
      <w:r w:rsidR="008D344E" w:rsidRPr="00210024">
        <w:rPr>
          <w:rFonts w:ascii="Times New Roman" w:hAnsi="Times New Roman" w:cs="Times New Roman"/>
          <w:sz w:val="24"/>
          <w:szCs w:val="24"/>
        </w:rPr>
        <w:t>movement of people</w:t>
      </w:r>
      <w:r w:rsidRPr="00210024">
        <w:rPr>
          <w:rFonts w:ascii="Times New Roman" w:hAnsi="Times New Roman" w:cs="Times New Roman"/>
          <w:sz w:val="24"/>
          <w:szCs w:val="24"/>
        </w:rPr>
        <w:t>, goods</w:t>
      </w:r>
      <w:r w:rsidR="008D344E" w:rsidRPr="00210024">
        <w:rPr>
          <w:rFonts w:ascii="Times New Roman" w:hAnsi="Times New Roman" w:cs="Times New Roman"/>
          <w:sz w:val="24"/>
          <w:szCs w:val="24"/>
        </w:rPr>
        <w:t xml:space="preserve"> and capital. Table 3</w:t>
      </w:r>
      <w:r w:rsidRPr="00210024">
        <w:rPr>
          <w:rFonts w:ascii="Times New Roman" w:hAnsi="Times New Roman" w:cs="Times New Roman"/>
          <w:sz w:val="24"/>
          <w:szCs w:val="24"/>
        </w:rPr>
        <w:t xml:space="preserve"> refers to some key indicators of Palestinian</w:t>
      </w:r>
      <w:r w:rsidR="008D344E" w:rsidRPr="00210024">
        <w:rPr>
          <w:rFonts w:ascii="Times New Roman" w:hAnsi="Times New Roman" w:cs="Times New Roman"/>
          <w:sz w:val="24"/>
          <w:szCs w:val="24"/>
        </w:rPr>
        <w:t xml:space="preserve"> labor market during the period </w:t>
      </w:r>
      <w:r w:rsidRPr="00210024">
        <w:rPr>
          <w:rFonts w:ascii="Times New Roman" w:hAnsi="Times New Roman" w:cs="Times New Roman"/>
          <w:sz w:val="24"/>
          <w:szCs w:val="24"/>
        </w:rPr>
        <w:t xml:space="preserve">of </w:t>
      </w:r>
      <w:r w:rsidR="008D344E" w:rsidRPr="00210024">
        <w:rPr>
          <w:rFonts w:ascii="Times New Roman" w:hAnsi="Times New Roman" w:cs="Times New Roman"/>
          <w:sz w:val="24"/>
          <w:szCs w:val="24"/>
        </w:rPr>
        <w:t>2004-2011.</w:t>
      </w:r>
    </w:p>
    <w:p w:rsidR="0053226C" w:rsidRPr="00940DEB" w:rsidRDefault="0053226C" w:rsidP="00940DEB">
      <w:pPr>
        <w:spacing w:after="0"/>
        <w:jc w:val="both"/>
        <w:rPr>
          <w:rFonts w:ascii="Times New Roman" w:hAnsi="Times New Roman" w:cs="Times New Roman"/>
          <w:b/>
          <w:bCs/>
          <w:sz w:val="24"/>
          <w:szCs w:val="24"/>
        </w:rPr>
      </w:pPr>
    </w:p>
    <w:p w:rsidR="00AF5897" w:rsidRPr="00210024" w:rsidRDefault="00755DAD" w:rsidP="003A07FC">
      <w:pPr>
        <w:spacing w:after="0"/>
        <w:jc w:val="center"/>
        <w:rPr>
          <w:rFonts w:ascii="Times New Roman" w:hAnsi="Times New Roman" w:cs="Times New Roman"/>
          <w:b/>
          <w:bCs/>
          <w:sz w:val="24"/>
          <w:szCs w:val="24"/>
        </w:rPr>
      </w:pPr>
      <w:r w:rsidRPr="00210024">
        <w:rPr>
          <w:rFonts w:ascii="Times New Roman" w:hAnsi="Times New Roman" w:cs="Times New Roman"/>
          <w:b/>
          <w:bCs/>
          <w:sz w:val="24"/>
          <w:szCs w:val="24"/>
        </w:rPr>
        <w:t xml:space="preserve">Table 3: Some indicators of the labor market for individuals aged 15 years and </w:t>
      </w:r>
      <w:r w:rsidR="003A07FC">
        <w:rPr>
          <w:rFonts w:ascii="Times New Roman" w:hAnsi="Times New Roman" w:cs="Times New Roman"/>
          <w:b/>
          <w:bCs/>
          <w:sz w:val="24"/>
          <w:szCs w:val="24"/>
        </w:rPr>
        <w:t>above</w:t>
      </w:r>
      <w:r w:rsidRPr="00210024">
        <w:rPr>
          <w:rFonts w:ascii="Times New Roman" w:hAnsi="Times New Roman" w:cs="Times New Roman"/>
          <w:b/>
          <w:bCs/>
          <w:sz w:val="24"/>
          <w:szCs w:val="24"/>
        </w:rPr>
        <w:t xml:space="preserve"> in the Palestinian </w:t>
      </w:r>
      <w:r w:rsidR="002C7C30">
        <w:rPr>
          <w:rFonts w:ascii="Times New Roman" w:hAnsi="Times New Roman" w:cs="Times New Roman"/>
          <w:b/>
          <w:bCs/>
          <w:sz w:val="24"/>
          <w:szCs w:val="24"/>
        </w:rPr>
        <w:t>Territory</w:t>
      </w:r>
      <w:r w:rsidR="003A07FC">
        <w:rPr>
          <w:rFonts w:ascii="Times New Roman" w:hAnsi="Times New Roman" w:cs="Times New Roman"/>
          <w:b/>
          <w:bCs/>
          <w:sz w:val="24"/>
          <w:szCs w:val="24"/>
        </w:rPr>
        <w:t>,</w:t>
      </w:r>
      <w:r w:rsidRPr="00210024">
        <w:rPr>
          <w:rFonts w:ascii="Times New Roman" w:hAnsi="Times New Roman" w:cs="Times New Roman"/>
          <w:b/>
          <w:bCs/>
          <w:sz w:val="24"/>
          <w:szCs w:val="24"/>
        </w:rPr>
        <w:t xml:space="preserve"> </w:t>
      </w:r>
      <w:r w:rsidR="003A07FC">
        <w:rPr>
          <w:rFonts w:ascii="Times New Roman" w:hAnsi="Times New Roman" w:cs="Times New Roman"/>
          <w:b/>
          <w:bCs/>
          <w:sz w:val="24"/>
          <w:szCs w:val="24"/>
        </w:rPr>
        <w:t>(</w:t>
      </w:r>
      <w:r w:rsidRPr="00210024">
        <w:rPr>
          <w:rFonts w:ascii="Times New Roman" w:hAnsi="Times New Roman" w:cs="Times New Roman"/>
          <w:b/>
          <w:bCs/>
          <w:sz w:val="24"/>
          <w:szCs w:val="24"/>
        </w:rPr>
        <w:t>2004-2011</w:t>
      </w:r>
      <w:r w:rsidR="003A07FC">
        <w:rPr>
          <w:rFonts w:ascii="Times New Roman" w:hAnsi="Times New Roman" w:cs="Times New Roman"/>
          <w:b/>
          <w:bCs/>
          <w:sz w:val="24"/>
          <w:szCs w:val="24"/>
        </w:rPr>
        <w:t>)</w:t>
      </w:r>
    </w:p>
    <w:tbl>
      <w:tblPr>
        <w:tblW w:w="9619" w:type="dxa"/>
        <w:tblBorders>
          <w:top w:val="single" w:sz="12" w:space="0" w:color="auto"/>
          <w:bottom w:val="single" w:sz="12" w:space="0" w:color="auto"/>
        </w:tblBorders>
        <w:tblLook w:val="0000"/>
      </w:tblPr>
      <w:tblGrid>
        <w:gridCol w:w="2660"/>
        <w:gridCol w:w="829"/>
        <w:gridCol w:w="77"/>
        <w:gridCol w:w="766"/>
        <w:gridCol w:w="132"/>
        <w:gridCol w:w="791"/>
        <w:gridCol w:w="62"/>
        <w:gridCol w:w="775"/>
        <w:gridCol w:w="120"/>
        <w:gridCol w:w="713"/>
        <w:gridCol w:w="178"/>
        <w:gridCol w:w="662"/>
        <w:gridCol w:w="230"/>
        <w:gridCol w:w="695"/>
        <w:gridCol w:w="929"/>
      </w:tblGrid>
      <w:tr w:rsidR="009D78AB" w:rsidRPr="00210024" w:rsidTr="00186D70">
        <w:trPr>
          <w:trHeight w:hRule="exact" w:val="455"/>
        </w:trPr>
        <w:tc>
          <w:tcPr>
            <w:tcW w:w="2660" w:type="dxa"/>
            <w:tcBorders>
              <w:top w:val="single" w:sz="12" w:space="0" w:color="auto"/>
              <w:bottom w:val="single" w:sz="12" w:space="0" w:color="auto"/>
            </w:tcBorders>
          </w:tcPr>
          <w:p w:rsidR="009D78AB" w:rsidRPr="00210024" w:rsidRDefault="009D78AB" w:rsidP="007A7FF4">
            <w:pPr>
              <w:pStyle w:val="Footer"/>
              <w:tabs>
                <w:tab w:val="clear" w:pos="4153"/>
                <w:tab w:val="clear" w:pos="8306"/>
              </w:tabs>
              <w:rPr>
                <w:rFonts w:ascii="Times New Roman" w:hAnsi="Times New Roman" w:cs="Times New Roman"/>
                <w:sz w:val="18"/>
                <w:szCs w:val="18"/>
              </w:rPr>
            </w:pPr>
          </w:p>
        </w:tc>
        <w:tc>
          <w:tcPr>
            <w:tcW w:w="906" w:type="dxa"/>
            <w:gridSpan w:val="2"/>
            <w:tcBorders>
              <w:top w:val="single" w:sz="12" w:space="0" w:color="auto"/>
              <w:bottom w:val="single" w:sz="12" w:space="0" w:color="auto"/>
            </w:tcBorders>
          </w:tcPr>
          <w:p w:rsidR="009D78AB" w:rsidRPr="00210024" w:rsidRDefault="009D78AB" w:rsidP="007A7FF4">
            <w:pPr>
              <w:pStyle w:val="BodyText3"/>
              <w:spacing w:after="0"/>
              <w:jc w:val="center"/>
              <w:rPr>
                <w:b/>
                <w:bCs/>
                <w:sz w:val="18"/>
                <w:szCs w:val="18"/>
              </w:rPr>
            </w:pPr>
            <w:r w:rsidRPr="00210024">
              <w:rPr>
                <w:b/>
                <w:bCs/>
                <w:sz w:val="18"/>
                <w:szCs w:val="18"/>
              </w:rPr>
              <w:t>2004</w:t>
            </w:r>
          </w:p>
        </w:tc>
        <w:tc>
          <w:tcPr>
            <w:tcW w:w="898" w:type="dxa"/>
            <w:gridSpan w:val="2"/>
            <w:tcBorders>
              <w:top w:val="single" w:sz="12" w:space="0" w:color="auto"/>
              <w:bottom w:val="single" w:sz="12" w:space="0" w:color="auto"/>
            </w:tcBorders>
          </w:tcPr>
          <w:p w:rsidR="009D78AB" w:rsidRPr="00210024" w:rsidRDefault="009D78AB" w:rsidP="007A7FF4">
            <w:pPr>
              <w:pStyle w:val="BodyText3"/>
              <w:spacing w:after="0"/>
              <w:jc w:val="center"/>
              <w:rPr>
                <w:b/>
                <w:bCs/>
                <w:sz w:val="18"/>
                <w:szCs w:val="18"/>
              </w:rPr>
            </w:pPr>
            <w:r w:rsidRPr="00210024">
              <w:rPr>
                <w:b/>
                <w:bCs/>
                <w:sz w:val="18"/>
                <w:szCs w:val="18"/>
              </w:rPr>
              <w:t>2005</w:t>
            </w:r>
          </w:p>
        </w:tc>
        <w:tc>
          <w:tcPr>
            <w:tcW w:w="853" w:type="dxa"/>
            <w:gridSpan w:val="2"/>
            <w:tcBorders>
              <w:top w:val="single" w:sz="12" w:space="0" w:color="auto"/>
              <w:bottom w:val="single" w:sz="12" w:space="0" w:color="auto"/>
            </w:tcBorders>
          </w:tcPr>
          <w:p w:rsidR="009D78AB" w:rsidRPr="00210024" w:rsidRDefault="009D78AB" w:rsidP="007A7FF4">
            <w:pPr>
              <w:pStyle w:val="BodyText3"/>
              <w:spacing w:after="0"/>
              <w:jc w:val="center"/>
              <w:rPr>
                <w:b/>
                <w:bCs/>
                <w:sz w:val="18"/>
                <w:szCs w:val="18"/>
              </w:rPr>
            </w:pPr>
            <w:r w:rsidRPr="00210024">
              <w:rPr>
                <w:b/>
                <w:bCs/>
                <w:sz w:val="18"/>
                <w:szCs w:val="18"/>
              </w:rPr>
              <w:t>2006</w:t>
            </w:r>
          </w:p>
        </w:tc>
        <w:tc>
          <w:tcPr>
            <w:tcW w:w="895" w:type="dxa"/>
            <w:gridSpan w:val="2"/>
            <w:tcBorders>
              <w:top w:val="single" w:sz="12" w:space="0" w:color="auto"/>
              <w:bottom w:val="single" w:sz="12" w:space="0" w:color="auto"/>
            </w:tcBorders>
          </w:tcPr>
          <w:p w:rsidR="009D78AB" w:rsidRPr="00210024" w:rsidRDefault="009D78AB" w:rsidP="007A7FF4">
            <w:pPr>
              <w:pStyle w:val="BodyText3"/>
              <w:spacing w:after="0"/>
              <w:jc w:val="center"/>
              <w:rPr>
                <w:b/>
                <w:bCs/>
                <w:sz w:val="18"/>
                <w:szCs w:val="18"/>
              </w:rPr>
            </w:pPr>
            <w:r w:rsidRPr="00210024">
              <w:rPr>
                <w:b/>
                <w:bCs/>
                <w:sz w:val="18"/>
                <w:szCs w:val="18"/>
              </w:rPr>
              <w:t>2007</w:t>
            </w:r>
          </w:p>
        </w:tc>
        <w:tc>
          <w:tcPr>
            <w:tcW w:w="891" w:type="dxa"/>
            <w:gridSpan w:val="2"/>
            <w:tcBorders>
              <w:top w:val="single" w:sz="12" w:space="0" w:color="auto"/>
              <w:bottom w:val="single" w:sz="12" w:space="0" w:color="auto"/>
            </w:tcBorders>
          </w:tcPr>
          <w:p w:rsidR="009D78AB" w:rsidRPr="00210024" w:rsidRDefault="009D78AB" w:rsidP="007A7FF4">
            <w:pPr>
              <w:pStyle w:val="BodyText3"/>
              <w:spacing w:after="0"/>
              <w:jc w:val="center"/>
              <w:rPr>
                <w:b/>
                <w:bCs/>
                <w:sz w:val="18"/>
                <w:szCs w:val="18"/>
              </w:rPr>
            </w:pPr>
            <w:r w:rsidRPr="00210024">
              <w:rPr>
                <w:b/>
                <w:bCs/>
                <w:sz w:val="18"/>
                <w:szCs w:val="18"/>
              </w:rPr>
              <w:t>2008</w:t>
            </w:r>
          </w:p>
        </w:tc>
        <w:tc>
          <w:tcPr>
            <w:tcW w:w="892" w:type="dxa"/>
            <w:gridSpan w:val="2"/>
            <w:tcBorders>
              <w:top w:val="single" w:sz="12" w:space="0" w:color="auto"/>
              <w:bottom w:val="single" w:sz="12" w:space="0" w:color="auto"/>
            </w:tcBorders>
          </w:tcPr>
          <w:p w:rsidR="009D78AB" w:rsidRPr="00210024" w:rsidRDefault="009D78AB" w:rsidP="007A7FF4">
            <w:pPr>
              <w:pStyle w:val="BodyText3"/>
              <w:spacing w:after="0"/>
              <w:jc w:val="center"/>
              <w:rPr>
                <w:b/>
                <w:bCs/>
                <w:sz w:val="18"/>
                <w:szCs w:val="18"/>
              </w:rPr>
            </w:pPr>
            <w:r w:rsidRPr="00210024">
              <w:rPr>
                <w:b/>
                <w:bCs/>
                <w:sz w:val="18"/>
                <w:szCs w:val="18"/>
              </w:rPr>
              <w:t>2009</w:t>
            </w:r>
          </w:p>
        </w:tc>
        <w:tc>
          <w:tcPr>
            <w:tcW w:w="695" w:type="dxa"/>
            <w:tcBorders>
              <w:top w:val="single" w:sz="12" w:space="0" w:color="auto"/>
              <w:bottom w:val="single" w:sz="12" w:space="0" w:color="auto"/>
            </w:tcBorders>
          </w:tcPr>
          <w:p w:rsidR="009D78AB" w:rsidRPr="00210024" w:rsidRDefault="009D78AB" w:rsidP="007A7FF4">
            <w:pPr>
              <w:pStyle w:val="BodyText3"/>
              <w:spacing w:after="0"/>
              <w:jc w:val="center"/>
              <w:rPr>
                <w:b/>
                <w:bCs/>
                <w:sz w:val="18"/>
                <w:szCs w:val="18"/>
              </w:rPr>
            </w:pPr>
            <w:r w:rsidRPr="00210024">
              <w:rPr>
                <w:b/>
                <w:bCs/>
                <w:sz w:val="18"/>
                <w:szCs w:val="18"/>
              </w:rPr>
              <w:t>2010</w:t>
            </w:r>
          </w:p>
        </w:tc>
        <w:tc>
          <w:tcPr>
            <w:tcW w:w="929" w:type="dxa"/>
            <w:tcBorders>
              <w:top w:val="single" w:sz="12" w:space="0" w:color="auto"/>
              <w:bottom w:val="single" w:sz="12" w:space="0" w:color="auto"/>
            </w:tcBorders>
          </w:tcPr>
          <w:p w:rsidR="009D78AB" w:rsidRPr="00210024" w:rsidRDefault="009D78AB" w:rsidP="007A7FF4">
            <w:pPr>
              <w:pStyle w:val="BodyText3"/>
              <w:spacing w:after="0"/>
              <w:jc w:val="center"/>
              <w:rPr>
                <w:b/>
                <w:bCs/>
                <w:sz w:val="18"/>
                <w:szCs w:val="18"/>
              </w:rPr>
            </w:pPr>
            <w:r w:rsidRPr="00210024">
              <w:rPr>
                <w:b/>
                <w:bCs/>
                <w:sz w:val="18"/>
                <w:szCs w:val="18"/>
              </w:rPr>
              <w:t>2011</w:t>
            </w:r>
          </w:p>
        </w:tc>
      </w:tr>
      <w:tr w:rsidR="009D78AB" w:rsidRPr="00210024" w:rsidTr="00186D70">
        <w:trPr>
          <w:trHeight w:hRule="exact" w:val="455"/>
        </w:trPr>
        <w:tc>
          <w:tcPr>
            <w:tcW w:w="2660" w:type="dxa"/>
            <w:tcBorders>
              <w:top w:val="single" w:sz="12" w:space="0" w:color="auto"/>
            </w:tcBorders>
            <w:vAlign w:val="center"/>
          </w:tcPr>
          <w:p w:rsidR="009D78AB" w:rsidRPr="00210024" w:rsidRDefault="008658F7" w:rsidP="00DE4AB8">
            <w:pPr>
              <w:pStyle w:val="Footer"/>
              <w:tabs>
                <w:tab w:val="clear" w:pos="4153"/>
                <w:tab w:val="clear" w:pos="8306"/>
              </w:tabs>
              <w:rPr>
                <w:rFonts w:ascii="Times New Roman" w:hAnsi="Times New Roman" w:cs="Times New Roman"/>
                <w:sz w:val="18"/>
                <w:szCs w:val="18"/>
              </w:rPr>
            </w:pPr>
            <w:r>
              <w:rPr>
                <w:rFonts w:ascii="Times New Roman" w:hAnsi="Times New Roman" w:cs="Times New Roman"/>
                <w:sz w:val="18"/>
                <w:szCs w:val="18"/>
              </w:rPr>
              <w:t>L</w:t>
            </w:r>
            <w:r w:rsidR="009D78AB" w:rsidRPr="00210024">
              <w:rPr>
                <w:rFonts w:ascii="Times New Roman" w:hAnsi="Times New Roman" w:cs="Times New Roman"/>
                <w:sz w:val="18"/>
                <w:szCs w:val="18"/>
              </w:rPr>
              <w:t xml:space="preserve">abor force </w:t>
            </w:r>
            <w:r w:rsidR="00DE4AB8">
              <w:rPr>
                <w:rFonts w:ascii="Times New Roman" w:hAnsi="Times New Roman" w:cs="Times New Roman"/>
                <w:sz w:val="18"/>
                <w:szCs w:val="18"/>
              </w:rPr>
              <w:t xml:space="preserve">in </w:t>
            </w:r>
            <w:r w:rsidR="009D78AB" w:rsidRPr="00210024">
              <w:rPr>
                <w:rFonts w:ascii="Times New Roman" w:hAnsi="Times New Roman" w:cs="Times New Roman"/>
                <w:sz w:val="18"/>
                <w:szCs w:val="18"/>
              </w:rPr>
              <w:t>Thousands</w:t>
            </w:r>
          </w:p>
        </w:tc>
        <w:tc>
          <w:tcPr>
            <w:tcW w:w="829" w:type="dxa"/>
            <w:tcBorders>
              <w:top w:val="single" w:sz="12" w:space="0" w:color="auto"/>
            </w:tcBorders>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tl/>
              </w:rPr>
              <w:t>752</w:t>
            </w:r>
          </w:p>
        </w:tc>
        <w:tc>
          <w:tcPr>
            <w:tcW w:w="843" w:type="dxa"/>
            <w:gridSpan w:val="2"/>
            <w:tcBorders>
              <w:top w:val="single" w:sz="12" w:space="0" w:color="auto"/>
            </w:tcBorders>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tl/>
              </w:rPr>
              <w:t>789</w:t>
            </w:r>
          </w:p>
        </w:tc>
        <w:tc>
          <w:tcPr>
            <w:tcW w:w="923" w:type="dxa"/>
            <w:gridSpan w:val="2"/>
            <w:tcBorders>
              <w:top w:val="single" w:sz="12" w:space="0" w:color="auto"/>
            </w:tcBorders>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tl/>
              </w:rPr>
              <w:t>834</w:t>
            </w:r>
          </w:p>
        </w:tc>
        <w:tc>
          <w:tcPr>
            <w:tcW w:w="837" w:type="dxa"/>
            <w:gridSpan w:val="2"/>
            <w:tcBorders>
              <w:top w:val="single" w:sz="12" w:space="0" w:color="auto"/>
            </w:tcBorders>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tl/>
              </w:rPr>
              <w:t>882</w:t>
            </w:r>
          </w:p>
        </w:tc>
        <w:tc>
          <w:tcPr>
            <w:tcW w:w="833" w:type="dxa"/>
            <w:gridSpan w:val="2"/>
            <w:tcBorders>
              <w:top w:val="single" w:sz="12" w:space="0" w:color="auto"/>
            </w:tcBorders>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tl/>
              </w:rPr>
              <w:t>908</w:t>
            </w:r>
          </w:p>
        </w:tc>
        <w:tc>
          <w:tcPr>
            <w:tcW w:w="840" w:type="dxa"/>
            <w:gridSpan w:val="2"/>
            <w:tcBorders>
              <w:top w:val="single" w:sz="12" w:space="0" w:color="auto"/>
            </w:tcBorders>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tl/>
              </w:rPr>
              <w:t>951</w:t>
            </w:r>
          </w:p>
        </w:tc>
        <w:tc>
          <w:tcPr>
            <w:tcW w:w="925" w:type="dxa"/>
            <w:gridSpan w:val="2"/>
            <w:tcBorders>
              <w:top w:val="single" w:sz="12" w:space="0" w:color="auto"/>
            </w:tcBorders>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tl/>
              </w:rPr>
              <w:t>976</w:t>
            </w:r>
          </w:p>
        </w:tc>
        <w:tc>
          <w:tcPr>
            <w:tcW w:w="929" w:type="dxa"/>
            <w:tcBorders>
              <w:top w:val="single" w:sz="12" w:space="0" w:color="auto"/>
            </w:tcBorders>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1,059</w:t>
            </w:r>
          </w:p>
        </w:tc>
      </w:tr>
      <w:tr w:rsidR="009D78AB" w:rsidRPr="00210024" w:rsidTr="00186D70">
        <w:trPr>
          <w:trHeight w:hRule="exact" w:val="455"/>
        </w:trPr>
        <w:tc>
          <w:tcPr>
            <w:tcW w:w="2660" w:type="dxa"/>
            <w:vAlign w:val="center"/>
          </w:tcPr>
          <w:p w:rsidR="009D78AB" w:rsidRPr="00210024" w:rsidRDefault="009D78AB" w:rsidP="00DE4AB8">
            <w:pPr>
              <w:pStyle w:val="Footer"/>
              <w:tabs>
                <w:tab w:val="clear" w:pos="4153"/>
                <w:tab w:val="clear" w:pos="8306"/>
              </w:tabs>
              <w:rPr>
                <w:rFonts w:ascii="Times New Roman" w:hAnsi="Times New Roman" w:cs="Times New Roman"/>
                <w:sz w:val="18"/>
                <w:szCs w:val="18"/>
              </w:rPr>
            </w:pPr>
            <w:r w:rsidRPr="00210024">
              <w:rPr>
                <w:rFonts w:ascii="Times New Roman" w:hAnsi="Times New Roman" w:cs="Times New Roman"/>
                <w:sz w:val="18"/>
                <w:szCs w:val="18"/>
              </w:rPr>
              <w:t xml:space="preserve">Participation rate </w:t>
            </w:r>
          </w:p>
        </w:tc>
        <w:tc>
          <w:tcPr>
            <w:tcW w:w="829" w:type="dxa"/>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40.1</w:t>
            </w:r>
          </w:p>
        </w:tc>
        <w:tc>
          <w:tcPr>
            <w:tcW w:w="84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40.4</w:t>
            </w:r>
          </w:p>
        </w:tc>
        <w:tc>
          <w:tcPr>
            <w:tcW w:w="92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41.0</w:t>
            </w:r>
          </w:p>
        </w:tc>
        <w:tc>
          <w:tcPr>
            <w:tcW w:w="837"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41.7</w:t>
            </w:r>
          </w:p>
        </w:tc>
        <w:tc>
          <w:tcPr>
            <w:tcW w:w="83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41.2</w:t>
            </w:r>
          </w:p>
        </w:tc>
        <w:tc>
          <w:tcPr>
            <w:tcW w:w="840"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41.6</w:t>
            </w:r>
          </w:p>
        </w:tc>
        <w:tc>
          <w:tcPr>
            <w:tcW w:w="925"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41.1</w:t>
            </w:r>
          </w:p>
        </w:tc>
        <w:tc>
          <w:tcPr>
            <w:tcW w:w="929" w:type="dxa"/>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tl/>
              </w:rPr>
              <w:t>43.0</w:t>
            </w:r>
          </w:p>
        </w:tc>
      </w:tr>
      <w:tr w:rsidR="009D78AB" w:rsidRPr="00210024" w:rsidTr="00186D70">
        <w:trPr>
          <w:trHeight w:hRule="exact" w:val="455"/>
        </w:trPr>
        <w:tc>
          <w:tcPr>
            <w:tcW w:w="2660" w:type="dxa"/>
            <w:vAlign w:val="center"/>
          </w:tcPr>
          <w:p w:rsidR="009D78AB" w:rsidRPr="00210024" w:rsidRDefault="00DE4AB8" w:rsidP="00DE4AB8">
            <w:pPr>
              <w:pStyle w:val="Footer"/>
              <w:tabs>
                <w:tab w:val="clear" w:pos="4153"/>
                <w:tab w:val="clear" w:pos="8306"/>
              </w:tabs>
              <w:rPr>
                <w:rFonts w:ascii="Times New Roman" w:hAnsi="Times New Roman" w:cs="Times New Roman"/>
                <w:sz w:val="18"/>
                <w:szCs w:val="18"/>
              </w:rPr>
            </w:pPr>
            <w:r>
              <w:rPr>
                <w:rFonts w:ascii="Times New Roman" w:hAnsi="Times New Roman" w:cs="Times New Roman"/>
                <w:sz w:val="18"/>
                <w:szCs w:val="18"/>
              </w:rPr>
              <w:t xml:space="preserve">Employed </w:t>
            </w:r>
            <w:r w:rsidR="009D78AB" w:rsidRPr="00210024">
              <w:rPr>
                <w:rFonts w:ascii="Times New Roman" w:hAnsi="Times New Roman" w:cs="Times New Roman"/>
                <w:sz w:val="18"/>
                <w:szCs w:val="18"/>
              </w:rPr>
              <w:t xml:space="preserve"> </w:t>
            </w:r>
            <w:r>
              <w:rPr>
                <w:rFonts w:ascii="Times New Roman" w:hAnsi="Times New Roman" w:cs="Times New Roman"/>
                <w:sz w:val="18"/>
                <w:szCs w:val="18"/>
              </w:rPr>
              <w:t xml:space="preserve">in </w:t>
            </w:r>
            <w:r w:rsidR="009D78AB" w:rsidRPr="00210024">
              <w:rPr>
                <w:rFonts w:ascii="Times New Roman" w:hAnsi="Times New Roman" w:cs="Times New Roman"/>
                <w:sz w:val="18"/>
                <w:szCs w:val="18"/>
              </w:rPr>
              <w:t>Thousand</w:t>
            </w:r>
          </w:p>
        </w:tc>
        <w:tc>
          <w:tcPr>
            <w:tcW w:w="829" w:type="dxa"/>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550</w:t>
            </w:r>
          </w:p>
        </w:tc>
        <w:tc>
          <w:tcPr>
            <w:tcW w:w="84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Pr>
              <w:t>603</w:t>
            </w:r>
          </w:p>
        </w:tc>
        <w:tc>
          <w:tcPr>
            <w:tcW w:w="923"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637</w:t>
            </w:r>
          </w:p>
        </w:tc>
        <w:tc>
          <w:tcPr>
            <w:tcW w:w="837"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691</w:t>
            </w:r>
          </w:p>
        </w:tc>
        <w:tc>
          <w:tcPr>
            <w:tcW w:w="833"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666</w:t>
            </w:r>
          </w:p>
        </w:tc>
        <w:tc>
          <w:tcPr>
            <w:tcW w:w="840"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717</w:t>
            </w:r>
          </w:p>
        </w:tc>
        <w:tc>
          <w:tcPr>
            <w:tcW w:w="925"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Pr>
              <w:t>744</w:t>
            </w:r>
          </w:p>
        </w:tc>
        <w:tc>
          <w:tcPr>
            <w:tcW w:w="929" w:type="dxa"/>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837</w:t>
            </w:r>
          </w:p>
        </w:tc>
      </w:tr>
      <w:tr w:rsidR="009D78AB" w:rsidRPr="00210024" w:rsidTr="00186D70">
        <w:trPr>
          <w:trHeight w:hRule="exact" w:val="746"/>
        </w:trPr>
        <w:tc>
          <w:tcPr>
            <w:tcW w:w="2660" w:type="dxa"/>
            <w:vAlign w:val="center"/>
          </w:tcPr>
          <w:p w:rsidR="009D78AB" w:rsidRPr="00210024" w:rsidRDefault="009D78AB" w:rsidP="007A7FF4">
            <w:pPr>
              <w:pStyle w:val="Footer"/>
              <w:tabs>
                <w:tab w:val="clear" w:pos="4153"/>
                <w:tab w:val="clear" w:pos="8306"/>
              </w:tabs>
              <w:rPr>
                <w:rFonts w:ascii="Times New Roman" w:hAnsi="Times New Roman" w:cs="Times New Roman"/>
                <w:sz w:val="18"/>
                <w:szCs w:val="18"/>
              </w:rPr>
            </w:pPr>
            <w:r w:rsidRPr="00210024">
              <w:rPr>
                <w:rFonts w:ascii="Times New Roman" w:hAnsi="Times New Roman" w:cs="Times New Roman"/>
                <w:sz w:val="18"/>
                <w:szCs w:val="18"/>
              </w:rPr>
              <w:t>% change in number of workers</w:t>
            </w:r>
          </w:p>
        </w:tc>
        <w:tc>
          <w:tcPr>
            <w:tcW w:w="829" w:type="dxa"/>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w:t>
            </w:r>
          </w:p>
        </w:tc>
        <w:tc>
          <w:tcPr>
            <w:tcW w:w="84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9.6</w:t>
            </w:r>
          </w:p>
        </w:tc>
        <w:tc>
          <w:tcPr>
            <w:tcW w:w="923"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5.</w:t>
            </w:r>
            <w:r w:rsidRPr="00210024">
              <w:rPr>
                <w:rFonts w:ascii="Times New Roman" w:hAnsi="Times New Roman" w:cs="Times New Roman"/>
                <w:color w:val="000000" w:themeColor="text1"/>
                <w:sz w:val="18"/>
                <w:szCs w:val="18"/>
                <w:rtl/>
              </w:rPr>
              <w:t>5</w:t>
            </w:r>
          </w:p>
        </w:tc>
        <w:tc>
          <w:tcPr>
            <w:tcW w:w="837"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8.5</w:t>
            </w:r>
          </w:p>
        </w:tc>
        <w:tc>
          <w:tcPr>
            <w:tcW w:w="833"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-3.</w:t>
            </w:r>
            <w:r w:rsidRPr="00210024">
              <w:rPr>
                <w:rFonts w:ascii="Times New Roman" w:hAnsi="Times New Roman" w:cs="Times New Roman"/>
                <w:color w:val="000000" w:themeColor="text1"/>
                <w:sz w:val="18"/>
                <w:szCs w:val="18"/>
                <w:rtl/>
              </w:rPr>
              <w:t>5</w:t>
            </w:r>
          </w:p>
        </w:tc>
        <w:tc>
          <w:tcPr>
            <w:tcW w:w="840"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7.</w:t>
            </w:r>
            <w:r w:rsidRPr="00210024">
              <w:rPr>
                <w:rFonts w:ascii="Times New Roman" w:hAnsi="Times New Roman" w:cs="Times New Roman"/>
                <w:color w:val="000000" w:themeColor="text1"/>
                <w:sz w:val="18"/>
                <w:szCs w:val="18"/>
                <w:rtl/>
              </w:rPr>
              <w:t>6</w:t>
            </w:r>
          </w:p>
        </w:tc>
        <w:tc>
          <w:tcPr>
            <w:tcW w:w="925"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3.</w:t>
            </w:r>
            <w:r w:rsidRPr="00210024">
              <w:rPr>
                <w:rFonts w:ascii="Times New Roman" w:hAnsi="Times New Roman" w:cs="Times New Roman"/>
                <w:color w:val="000000" w:themeColor="text1"/>
                <w:sz w:val="18"/>
                <w:szCs w:val="18"/>
                <w:rtl/>
              </w:rPr>
              <w:t>7</w:t>
            </w:r>
          </w:p>
        </w:tc>
        <w:tc>
          <w:tcPr>
            <w:tcW w:w="929" w:type="dxa"/>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12.6</w:t>
            </w:r>
          </w:p>
        </w:tc>
      </w:tr>
      <w:tr w:rsidR="009D78AB" w:rsidRPr="00210024" w:rsidTr="00186D70">
        <w:trPr>
          <w:trHeight w:hRule="exact" w:val="659"/>
        </w:trPr>
        <w:tc>
          <w:tcPr>
            <w:tcW w:w="2660" w:type="dxa"/>
            <w:vAlign w:val="center"/>
          </w:tcPr>
          <w:p w:rsidR="009D78AB" w:rsidRPr="00210024" w:rsidRDefault="009D78AB" w:rsidP="007A7FF4">
            <w:pPr>
              <w:pStyle w:val="Footer"/>
              <w:tabs>
                <w:tab w:val="clear" w:pos="4153"/>
                <w:tab w:val="clear" w:pos="8306"/>
              </w:tabs>
              <w:rPr>
                <w:rFonts w:ascii="Times New Roman" w:hAnsi="Times New Roman" w:cs="Times New Roman"/>
                <w:sz w:val="18"/>
                <w:szCs w:val="18"/>
              </w:rPr>
            </w:pPr>
            <w:r w:rsidRPr="00210024">
              <w:rPr>
                <w:rFonts w:ascii="Times New Roman" w:hAnsi="Times New Roman" w:cs="Times New Roman"/>
                <w:sz w:val="18"/>
                <w:szCs w:val="18"/>
              </w:rPr>
              <w:t>Nominal average daily wage (NIS)</w:t>
            </w:r>
          </w:p>
        </w:tc>
        <w:tc>
          <w:tcPr>
            <w:tcW w:w="829" w:type="dxa"/>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73.8</w:t>
            </w:r>
          </w:p>
        </w:tc>
        <w:tc>
          <w:tcPr>
            <w:tcW w:w="84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lang w:val="en-GB"/>
              </w:rPr>
              <w:t>77.0</w:t>
            </w:r>
          </w:p>
        </w:tc>
        <w:tc>
          <w:tcPr>
            <w:tcW w:w="92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lang w:val="en-GB"/>
              </w:rPr>
              <w:t>81.5</w:t>
            </w:r>
          </w:p>
        </w:tc>
        <w:tc>
          <w:tcPr>
            <w:tcW w:w="837"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lang w:val="en-GB"/>
              </w:rPr>
              <w:t>81.9</w:t>
            </w:r>
          </w:p>
        </w:tc>
        <w:tc>
          <w:tcPr>
            <w:tcW w:w="83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lang w:val="en-GB"/>
              </w:rPr>
              <w:t>87.0</w:t>
            </w:r>
          </w:p>
        </w:tc>
        <w:tc>
          <w:tcPr>
            <w:tcW w:w="840"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lang w:val="en-GB"/>
              </w:rPr>
              <w:t>91.3</w:t>
            </w:r>
          </w:p>
        </w:tc>
        <w:tc>
          <w:tcPr>
            <w:tcW w:w="925"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lang w:val="en-GB"/>
              </w:rPr>
              <w:t>91.7</w:t>
            </w:r>
          </w:p>
        </w:tc>
        <w:tc>
          <w:tcPr>
            <w:tcW w:w="929" w:type="dxa"/>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tl/>
              </w:rPr>
              <w:t>91.7</w:t>
            </w:r>
          </w:p>
        </w:tc>
      </w:tr>
      <w:tr w:rsidR="009D78AB" w:rsidRPr="00210024" w:rsidTr="00186D70">
        <w:trPr>
          <w:trHeight w:hRule="exact" w:val="455"/>
        </w:trPr>
        <w:tc>
          <w:tcPr>
            <w:tcW w:w="2660" w:type="dxa"/>
            <w:vAlign w:val="center"/>
          </w:tcPr>
          <w:p w:rsidR="009D78AB" w:rsidRPr="00210024" w:rsidRDefault="009D78AB" w:rsidP="007A7FF4">
            <w:pPr>
              <w:pStyle w:val="Footer"/>
              <w:tabs>
                <w:tab w:val="clear" w:pos="4153"/>
                <w:tab w:val="clear" w:pos="8306"/>
              </w:tabs>
              <w:rPr>
                <w:rFonts w:ascii="Times New Roman" w:hAnsi="Times New Roman" w:cs="Times New Roman"/>
                <w:sz w:val="18"/>
                <w:szCs w:val="18"/>
              </w:rPr>
            </w:pPr>
            <w:r w:rsidRPr="00210024">
              <w:rPr>
                <w:rFonts w:ascii="Times New Roman" w:hAnsi="Times New Roman" w:cs="Times New Roman"/>
                <w:sz w:val="18"/>
                <w:szCs w:val="18"/>
              </w:rPr>
              <w:t>Real average daily wage*(NIS)</w:t>
            </w:r>
          </w:p>
        </w:tc>
        <w:tc>
          <w:tcPr>
            <w:tcW w:w="829" w:type="dxa"/>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73.8</w:t>
            </w:r>
          </w:p>
        </w:tc>
        <w:tc>
          <w:tcPr>
            <w:tcW w:w="84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74.0</w:t>
            </w:r>
          </w:p>
        </w:tc>
        <w:tc>
          <w:tcPr>
            <w:tcW w:w="923"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75.4</w:t>
            </w:r>
          </w:p>
        </w:tc>
        <w:tc>
          <w:tcPr>
            <w:tcW w:w="837"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74.4</w:t>
            </w:r>
          </w:p>
        </w:tc>
        <w:tc>
          <w:tcPr>
            <w:tcW w:w="833"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71.9</w:t>
            </w:r>
          </w:p>
        </w:tc>
        <w:tc>
          <w:tcPr>
            <w:tcW w:w="840"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73.4</w:t>
            </w:r>
          </w:p>
        </w:tc>
        <w:tc>
          <w:tcPr>
            <w:tcW w:w="925"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71.1</w:t>
            </w:r>
          </w:p>
        </w:tc>
        <w:tc>
          <w:tcPr>
            <w:tcW w:w="929" w:type="dxa"/>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69.1</w:t>
            </w:r>
          </w:p>
        </w:tc>
      </w:tr>
      <w:tr w:rsidR="009D78AB" w:rsidRPr="00210024" w:rsidTr="00186D70">
        <w:trPr>
          <w:trHeight w:hRule="exact" w:val="455"/>
        </w:trPr>
        <w:tc>
          <w:tcPr>
            <w:tcW w:w="2660" w:type="dxa"/>
            <w:vAlign w:val="center"/>
          </w:tcPr>
          <w:p w:rsidR="009D78AB" w:rsidRPr="00210024" w:rsidRDefault="009D78AB" w:rsidP="007A7FF4">
            <w:pPr>
              <w:pStyle w:val="Footer"/>
              <w:tabs>
                <w:tab w:val="clear" w:pos="4153"/>
                <w:tab w:val="clear" w:pos="8306"/>
              </w:tabs>
              <w:rPr>
                <w:rFonts w:ascii="Times New Roman" w:hAnsi="Times New Roman" w:cs="Times New Roman"/>
                <w:color w:val="FF0000"/>
                <w:sz w:val="18"/>
                <w:szCs w:val="18"/>
              </w:rPr>
            </w:pPr>
            <w:r w:rsidRPr="00210024">
              <w:rPr>
                <w:rFonts w:ascii="Times New Roman" w:hAnsi="Times New Roman" w:cs="Times New Roman"/>
                <w:sz w:val="18"/>
                <w:szCs w:val="18"/>
              </w:rPr>
              <w:t>Unemployment rate</w:t>
            </w:r>
          </w:p>
        </w:tc>
        <w:tc>
          <w:tcPr>
            <w:tcW w:w="829" w:type="dxa"/>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26.8</w:t>
            </w:r>
          </w:p>
        </w:tc>
        <w:tc>
          <w:tcPr>
            <w:tcW w:w="84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23.5</w:t>
            </w:r>
          </w:p>
        </w:tc>
        <w:tc>
          <w:tcPr>
            <w:tcW w:w="923"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23.7</w:t>
            </w:r>
          </w:p>
        </w:tc>
        <w:tc>
          <w:tcPr>
            <w:tcW w:w="837"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21.7</w:t>
            </w:r>
          </w:p>
        </w:tc>
        <w:tc>
          <w:tcPr>
            <w:tcW w:w="833"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26.6</w:t>
            </w:r>
          </w:p>
        </w:tc>
        <w:tc>
          <w:tcPr>
            <w:tcW w:w="840" w:type="dxa"/>
            <w:gridSpan w:val="2"/>
            <w:vAlign w:val="center"/>
          </w:tcPr>
          <w:p w:rsidR="009D78AB" w:rsidRPr="00210024" w:rsidRDefault="009D78AB" w:rsidP="007A7FF4">
            <w:pPr>
              <w:spacing w:after="0"/>
              <w:jc w:val="center"/>
              <w:rPr>
                <w:rFonts w:ascii="Times New Roman" w:eastAsia="Arial Unicode MS" w:hAnsi="Times New Roman" w:cs="Times New Roman"/>
                <w:color w:val="000000" w:themeColor="text1"/>
                <w:sz w:val="18"/>
                <w:szCs w:val="18"/>
              </w:rPr>
            </w:pPr>
            <w:r w:rsidRPr="00210024">
              <w:rPr>
                <w:rFonts w:ascii="Times New Roman" w:hAnsi="Times New Roman" w:cs="Times New Roman"/>
                <w:color w:val="000000" w:themeColor="text1"/>
                <w:sz w:val="18"/>
                <w:szCs w:val="18"/>
              </w:rPr>
              <w:t>24.5</w:t>
            </w:r>
          </w:p>
        </w:tc>
        <w:tc>
          <w:tcPr>
            <w:tcW w:w="925"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23.7</w:t>
            </w:r>
          </w:p>
        </w:tc>
        <w:tc>
          <w:tcPr>
            <w:tcW w:w="929" w:type="dxa"/>
            <w:vAlign w:val="center"/>
          </w:tcPr>
          <w:p w:rsidR="009D78AB" w:rsidRPr="00210024" w:rsidRDefault="009D78AB" w:rsidP="007A7FF4">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tl/>
              </w:rPr>
              <w:t xml:space="preserve">20.9 </w:t>
            </w:r>
          </w:p>
        </w:tc>
      </w:tr>
      <w:tr w:rsidR="009D78AB" w:rsidRPr="00210024" w:rsidTr="00940DEB">
        <w:trPr>
          <w:trHeight w:hRule="exact" w:val="455"/>
        </w:trPr>
        <w:tc>
          <w:tcPr>
            <w:tcW w:w="2660" w:type="dxa"/>
            <w:vAlign w:val="center"/>
          </w:tcPr>
          <w:p w:rsidR="009D78AB" w:rsidRPr="00210024" w:rsidRDefault="009D78AB" w:rsidP="007A7FF4">
            <w:pPr>
              <w:pStyle w:val="Footer"/>
              <w:tabs>
                <w:tab w:val="clear" w:pos="4153"/>
                <w:tab w:val="clear" w:pos="8306"/>
              </w:tabs>
              <w:rPr>
                <w:rFonts w:ascii="Times New Roman" w:hAnsi="Times New Roman" w:cs="Times New Roman"/>
                <w:sz w:val="18"/>
                <w:szCs w:val="18"/>
              </w:rPr>
            </w:pPr>
            <w:r w:rsidRPr="00210024">
              <w:rPr>
                <w:rFonts w:ascii="Times New Roman" w:hAnsi="Times New Roman" w:cs="Times New Roman"/>
                <w:sz w:val="18"/>
                <w:szCs w:val="18"/>
              </w:rPr>
              <w:t>Productivity (Dollar/Worker)</w:t>
            </w:r>
          </w:p>
        </w:tc>
        <w:tc>
          <w:tcPr>
            <w:tcW w:w="829" w:type="dxa"/>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8,293.1</w:t>
            </w:r>
          </w:p>
        </w:tc>
        <w:tc>
          <w:tcPr>
            <w:tcW w:w="84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8,332.3</w:t>
            </w:r>
          </w:p>
        </w:tc>
        <w:tc>
          <w:tcPr>
            <w:tcW w:w="92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7,437.3</w:t>
            </w:r>
          </w:p>
        </w:tc>
        <w:tc>
          <w:tcPr>
            <w:tcW w:w="837"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7,239.9</w:t>
            </w:r>
          </w:p>
        </w:tc>
        <w:tc>
          <w:tcPr>
            <w:tcW w:w="833"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8,560.8</w:t>
            </w:r>
          </w:p>
        </w:tc>
        <w:tc>
          <w:tcPr>
            <w:tcW w:w="840"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8,519.2</w:t>
            </w:r>
          </w:p>
        </w:tc>
        <w:tc>
          <w:tcPr>
            <w:tcW w:w="925" w:type="dxa"/>
            <w:gridSpan w:val="2"/>
            <w:vAlign w:val="center"/>
          </w:tcPr>
          <w:p w:rsidR="009D78AB" w:rsidRPr="00210024" w:rsidRDefault="009D78AB" w:rsidP="007A7FF4">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8,925.4</w:t>
            </w:r>
          </w:p>
        </w:tc>
        <w:tc>
          <w:tcPr>
            <w:tcW w:w="929" w:type="dxa"/>
            <w:vAlign w:val="center"/>
          </w:tcPr>
          <w:p w:rsidR="009D78AB" w:rsidRPr="00210024" w:rsidRDefault="009D78AB" w:rsidP="00940DEB">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8,</w:t>
            </w:r>
            <w:r w:rsidRPr="00210024">
              <w:rPr>
                <w:rFonts w:ascii="Times New Roman" w:hAnsi="Times New Roman" w:cs="Times New Roman"/>
                <w:color w:val="000000" w:themeColor="text1"/>
                <w:sz w:val="18"/>
                <w:szCs w:val="18"/>
                <w:rtl/>
              </w:rPr>
              <w:t>57</w:t>
            </w:r>
            <w:r w:rsidRPr="00210024">
              <w:rPr>
                <w:rFonts w:ascii="Times New Roman" w:hAnsi="Times New Roman" w:cs="Times New Roman"/>
                <w:color w:val="000000" w:themeColor="text1"/>
                <w:sz w:val="18"/>
                <w:szCs w:val="18"/>
              </w:rPr>
              <w:t>8.</w:t>
            </w:r>
            <w:r w:rsidRPr="00210024">
              <w:rPr>
                <w:rFonts w:ascii="Times New Roman" w:hAnsi="Times New Roman" w:cs="Times New Roman"/>
                <w:color w:val="000000" w:themeColor="text1"/>
                <w:sz w:val="18"/>
                <w:szCs w:val="18"/>
                <w:rtl/>
              </w:rPr>
              <w:t>6</w:t>
            </w:r>
          </w:p>
        </w:tc>
      </w:tr>
    </w:tbl>
    <w:p w:rsidR="009D78AB" w:rsidRPr="00210024" w:rsidRDefault="009D78AB" w:rsidP="007A7FF4">
      <w:pPr>
        <w:spacing w:after="0"/>
        <w:jc w:val="both"/>
        <w:rPr>
          <w:rFonts w:ascii="Times New Roman" w:hAnsi="Times New Roman" w:cs="Times New Roman"/>
          <w:sz w:val="18"/>
          <w:szCs w:val="18"/>
        </w:rPr>
      </w:pPr>
      <w:r w:rsidRPr="00210024">
        <w:rPr>
          <w:rFonts w:ascii="Times New Roman" w:hAnsi="Times New Roman" w:cs="Times New Roman"/>
          <w:sz w:val="18"/>
          <w:szCs w:val="18"/>
        </w:rPr>
        <w:t xml:space="preserve"> * The daily nominal wage rate has been linked to CPI to observe purchasing power of </w:t>
      </w:r>
      <w:r w:rsidR="00940DEB">
        <w:rPr>
          <w:rFonts w:ascii="Times New Roman" w:hAnsi="Times New Roman" w:cs="Times New Roman"/>
          <w:sz w:val="18"/>
          <w:szCs w:val="18"/>
        </w:rPr>
        <w:t>employees</w:t>
      </w:r>
      <w:r w:rsidRPr="00210024">
        <w:rPr>
          <w:rFonts w:ascii="Times New Roman" w:hAnsi="Times New Roman" w:cs="Times New Roman"/>
          <w:sz w:val="18"/>
          <w:szCs w:val="18"/>
        </w:rPr>
        <w:t xml:space="preserve"> at constant prices</w:t>
      </w:r>
      <w:r w:rsidR="00DE4AB8">
        <w:rPr>
          <w:rFonts w:ascii="Times New Roman" w:hAnsi="Times New Roman" w:cs="Times New Roman"/>
          <w:sz w:val="18"/>
          <w:szCs w:val="18"/>
        </w:rPr>
        <w:t xml:space="preserve"> (base year 2004)</w:t>
      </w:r>
      <w:r w:rsidRPr="00210024">
        <w:rPr>
          <w:rFonts w:ascii="Times New Roman" w:hAnsi="Times New Roman" w:cs="Times New Roman"/>
          <w:sz w:val="18"/>
          <w:szCs w:val="18"/>
        </w:rPr>
        <w:t>.</w:t>
      </w:r>
    </w:p>
    <w:p w:rsidR="008D344E" w:rsidRPr="00210024" w:rsidRDefault="008D344E" w:rsidP="002A5618">
      <w:pPr>
        <w:shd w:val="clear" w:color="auto" w:fill="FFFFFF" w:themeFill="background1"/>
        <w:spacing w:after="0"/>
        <w:jc w:val="both"/>
        <w:rPr>
          <w:rFonts w:ascii="Times New Roman" w:hAnsi="Times New Roman" w:cs="Times New Roman"/>
          <w:color w:val="000000" w:themeColor="text1"/>
          <w:sz w:val="18"/>
          <w:szCs w:val="18"/>
        </w:rPr>
      </w:pPr>
      <w:r w:rsidRPr="00210024">
        <w:rPr>
          <w:rFonts w:ascii="Times New Roman" w:hAnsi="Times New Roman" w:cs="Times New Roman"/>
          <w:sz w:val="24"/>
          <w:szCs w:val="24"/>
        </w:rPr>
        <w:br/>
      </w:r>
      <w:r w:rsidR="009D71C9" w:rsidRPr="00940DEB">
        <w:rPr>
          <w:rFonts w:ascii="Times New Roman" w:hAnsi="Times New Roman" w:cs="Times New Roman"/>
          <w:b/>
          <w:bCs/>
          <w:sz w:val="24"/>
          <w:szCs w:val="24"/>
        </w:rPr>
        <w:t>The percentage of participation in</w:t>
      </w:r>
      <w:r w:rsidRPr="00940DEB">
        <w:rPr>
          <w:rFonts w:ascii="Times New Roman" w:hAnsi="Times New Roman" w:cs="Times New Roman"/>
          <w:b/>
          <w:bCs/>
          <w:sz w:val="24"/>
          <w:szCs w:val="24"/>
        </w:rPr>
        <w:t xml:space="preserve"> labor force </w:t>
      </w:r>
      <w:r w:rsidR="009D71C9" w:rsidRPr="00940DEB">
        <w:rPr>
          <w:rFonts w:ascii="Times New Roman" w:hAnsi="Times New Roman" w:cs="Times New Roman"/>
          <w:b/>
          <w:bCs/>
          <w:sz w:val="24"/>
          <w:szCs w:val="24"/>
        </w:rPr>
        <w:t xml:space="preserve">increased in 2011 </w:t>
      </w:r>
      <w:r w:rsidRPr="00940DEB">
        <w:rPr>
          <w:rFonts w:ascii="Times New Roman" w:hAnsi="Times New Roman" w:cs="Times New Roman"/>
          <w:b/>
          <w:bCs/>
          <w:sz w:val="24"/>
          <w:szCs w:val="24"/>
        </w:rPr>
        <w:t xml:space="preserve">to 43.0% compared with 41.1% in 2010. This increase in the </w:t>
      </w:r>
      <w:r w:rsidR="009D71C9" w:rsidRPr="00940DEB">
        <w:rPr>
          <w:rFonts w:ascii="Times New Roman" w:hAnsi="Times New Roman" w:cs="Times New Roman"/>
          <w:b/>
          <w:bCs/>
          <w:sz w:val="24"/>
          <w:szCs w:val="24"/>
        </w:rPr>
        <w:t>percentage</w:t>
      </w:r>
      <w:r w:rsidRPr="00940DEB">
        <w:rPr>
          <w:rFonts w:ascii="Times New Roman" w:hAnsi="Times New Roman" w:cs="Times New Roman"/>
          <w:b/>
          <w:bCs/>
          <w:sz w:val="24"/>
          <w:szCs w:val="24"/>
        </w:rPr>
        <w:t xml:space="preserve"> of participation </w:t>
      </w:r>
      <w:r w:rsidR="009D71C9" w:rsidRPr="00940DEB">
        <w:rPr>
          <w:rFonts w:ascii="Times New Roman" w:hAnsi="Times New Roman" w:cs="Times New Roman"/>
          <w:b/>
          <w:bCs/>
          <w:sz w:val="24"/>
          <w:szCs w:val="24"/>
        </w:rPr>
        <w:t>is due to</w:t>
      </w:r>
      <w:r w:rsidRPr="00940DEB">
        <w:rPr>
          <w:rFonts w:ascii="Times New Roman" w:hAnsi="Times New Roman" w:cs="Times New Roman"/>
          <w:b/>
          <w:bCs/>
          <w:sz w:val="24"/>
          <w:szCs w:val="24"/>
        </w:rPr>
        <w:t xml:space="preserve"> </w:t>
      </w:r>
      <w:r w:rsidR="009D71C9" w:rsidRPr="00940DEB">
        <w:rPr>
          <w:rFonts w:ascii="Times New Roman" w:hAnsi="Times New Roman" w:cs="Times New Roman"/>
          <w:b/>
          <w:bCs/>
          <w:sz w:val="24"/>
          <w:szCs w:val="24"/>
        </w:rPr>
        <w:t xml:space="preserve">remarkable increase in the size of </w:t>
      </w:r>
      <w:r w:rsidRPr="00940DEB">
        <w:rPr>
          <w:rFonts w:ascii="Times New Roman" w:hAnsi="Times New Roman" w:cs="Times New Roman"/>
          <w:b/>
          <w:bCs/>
          <w:sz w:val="24"/>
          <w:szCs w:val="24"/>
        </w:rPr>
        <w:t>labor force that entered the labor market in 2011, which amounted to 1</w:t>
      </w:r>
      <w:r w:rsidR="00940DEB">
        <w:rPr>
          <w:rFonts w:ascii="Times New Roman" w:hAnsi="Times New Roman" w:cs="Times New Roman"/>
          <w:b/>
          <w:bCs/>
          <w:sz w:val="24"/>
          <w:szCs w:val="24"/>
        </w:rPr>
        <w:t>,</w:t>
      </w:r>
      <w:r w:rsidRPr="00940DEB">
        <w:rPr>
          <w:rFonts w:ascii="Times New Roman" w:hAnsi="Times New Roman" w:cs="Times New Roman"/>
          <w:b/>
          <w:bCs/>
          <w:sz w:val="24"/>
          <w:szCs w:val="24"/>
        </w:rPr>
        <w:t xml:space="preserve">059 thousand </w:t>
      </w:r>
      <w:r w:rsidR="00940DEB">
        <w:rPr>
          <w:rFonts w:ascii="Times New Roman" w:hAnsi="Times New Roman" w:cs="Times New Roman"/>
          <w:b/>
          <w:bCs/>
          <w:sz w:val="24"/>
          <w:szCs w:val="24"/>
        </w:rPr>
        <w:t>employees</w:t>
      </w:r>
      <w:r w:rsidR="009D71C9" w:rsidRPr="00940DEB">
        <w:rPr>
          <w:rFonts w:ascii="Times New Roman" w:hAnsi="Times New Roman" w:cs="Times New Roman"/>
          <w:b/>
          <w:bCs/>
          <w:sz w:val="24"/>
          <w:szCs w:val="24"/>
        </w:rPr>
        <w:t xml:space="preserve"> against 976 thousand </w:t>
      </w:r>
      <w:r w:rsidR="00940DEB">
        <w:rPr>
          <w:rFonts w:ascii="Times New Roman" w:hAnsi="Times New Roman" w:cs="Times New Roman"/>
          <w:b/>
          <w:bCs/>
          <w:sz w:val="24"/>
          <w:szCs w:val="24"/>
        </w:rPr>
        <w:t>employees</w:t>
      </w:r>
      <w:r w:rsidR="009D71C9" w:rsidRPr="00940DEB">
        <w:rPr>
          <w:rFonts w:ascii="Times New Roman" w:hAnsi="Times New Roman" w:cs="Times New Roman"/>
          <w:b/>
          <w:bCs/>
          <w:sz w:val="24"/>
          <w:szCs w:val="24"/>
        </w:rPr>
        <w:t xml:space="preserve"> entered</w:t>
      </w:r>
      <w:r w:rsidRPr="00940DEB">
        <w:rPr>
          <w:rFonts w:ascii="Times New Roman" w:hAnsi="Times New Roman" w:cs="Times New Roman"/>
          <w:b/>
          <w:bCs/>
          <w:sz w:val="24"/>
          <w:szCs w:val="24"/>
        </w:rPr>
        <w:t xml:space="preserve"> labor market during the year</w:t>
      </w:r>
      <w:r w:rsidR="009D71C9" w:rsidRPr="00940DEB">
        <w:rPr>
          <w:rFonts w:ascii="Times New Roman" w:hAnsi="Times New Roman" w:cs="Times New Roman"/>
          <w:b/>
          <w:bCs/>
          <w:sz w:val="24"/>
          <w:szCs w:val="24"/>
        </w:rPr>
        <w:t xml:space="preserve"> of</w:t>
      </w:r>
      <w:r w:rsidRPr="00940DEB">
        <w:rPr>
          <w:rFonts w:ascii="Times New Roman" w:hAnsi="Times New Roman" w:cs="Times New Roman"/>
          <w:b/>
          <w:bCs/>
          <w:sz w:val="24"/>
          <w:szCs w:val="24"/>
        </w:rPr>
        <w:t xml:space="preserve"> 2010</w:t>
      </w:r>
      <w:r w:rsidRPr="00210024">
        <w:rPr>
          <w:rFonts w:ascii="Times New Roman" w:hAnsi="Times New Roman" w:cs="Times New Roman"/>
          <w:sz w:val="24"/>
          <w:szCs w:val="24"/>
        </w:rPr>
        <w:t xml:space="preserve">. </w:t>
      </w:r>
      <w:r w:rsidR="00F87BA0" w:rsidRPr="00210024">
        <w:rPr>
          <w:rFonts w:ascii="Times New Roman" w:hAnsi="Times New Roman" w:cs="Times New Roman"/>
          <w:sz w:val="24"/>
          <w:szCs w:val="24"/>
        </w:rPr>
        <w:t>It is clear in t</w:t>
      </w:r>
      <w:r w:rsidRPr="00210024">
        <w:rPr>
          <w:rFonts w:ascii="Times New Roman" w:hAnsi="Times New Roman" w:cs="Times New Roman"/>
          <w:sz w:val="24"/>
          <w:szCs w:val="24"/>
        </w:rPr>
        <w:t xml:space="preserve">able 3, the size of the </w:t>
      </w:r>
      <w:r w:rsidR="00F87BA0" w:rsidRPr="00210024">
        <w:rPr>
          <w:rFonts w:ascii="Times New Roman" w:hAnsi="Times New Roman" w:cs="Times New Roman"/>
          <w:sz w:val="24"/>
          <w:szCs w:val="24"/>
        </w:rPr>
        <w:t xml:space="preserve">labor </w:t>
      </w:r>
      <w:r w:rsidRPr="00210024">
        <w:rPr>
          <w:rFonts w:ascii="Times New Roman" w:hAnsi="Times New Roman" w:cs="Times New Roman"/>
          <w:sz w:val="24"/>
          <w:szCs w:val="24"/>
        </w:rPr>
        <w:t xml:space="preserve">force </w:t>
      </w:r>
      <w:r w:rsidR="00F87BA0" w:rsidRPr="00210024">
        <w:rPr>
          <w:rFonts w:ascii="Times New Roman" w:hAnsi="Times New Roman" w:cs="Times New Roman"/>
          <w:sz w:val="24"/>
          <w:szCs w:val="24"/>
        </w:rPr>
        <w:t xml:space="preserve">increased </w:t>
      </w:r>
      <w:r w:rsidRPr="00210024">
        <w:rPr>
          <w:rFonts w:ascii="Times New Roman" w:hAnsi="Times New Roman" w:cs="Times New Roman"/>
          <w:sz w:val="24"/>
          <w:szCs w:val="24"/>
        </w:rPr>
        <w:t xml:space="preserve">by 8.5% in 2011 compared with 4.4% </w:t>
      </w:r>
      <w:r w:rsidR="00F87BA0" w:rsidRPr="00210024">
        <w:rPr>
          <w:rFonts w:ascii="Times New Roman" w:hAnsi="Times New Roman" w:cs="Times New Roman"/>
          <w:sz w:val="24"/>
          <w:szCs w:val="24"/>
        </w:rPr>
        <w:t>in</w:t>
      </w:r>
      <w:r w:rsidRPr="00210024">
        <w:rPr>
          <w:rFonts w:ascii="Times New Roman" w:hAnsi="Times New Roman" w:cs="Times New Roman"/>
          <w:sz w:val="24"/>
          <w:szCs w:val="24"/>
        </w:rPr>
        <w:t xml:space="preserve"> the period </w:t>
      </w:r>
      <w:r w:rsidR="00F87BA0" w:rsidRPr="00210024">
        <w:rPr>
          <w:rFonts w:ascii="Times New Roman" w:hAnsi="Times New Roman" w:cs="Times New Roman"/>
          <w:sz w:val="24"/>
          <w:szCs w:val="24"/>
        </w:rPr>
        <w:t>between 2004-2010</w:t>
      </w:r>
      <w:r w:rsidRPr="00210024">
        <w:rPr>
          <w:rFonts w:ascii="Times New Roman" w:hAnsi="Times New Roman" w:cs="Times New Roman"/>
          <w:sz w:val="24"/>
          <w:szCs w:val="24"/>
        </w:rPr>
        <w:t xml:space="preserve"> which led to a high </w:t>
      </w:r>
      <w:r w:rsidR="00F87BA0" w:rsidRPr="00210024">
        <w:rPr>
          <w:rFonts w:ascii="Times New Roman" w:hAnsi="Times New Roman" w:cs="Times New Roman"/>
          <w:sz w:val="24"/>
          <w:szCs w:val="24"/>
        </w:rPr>
        <w:t>percentage</w:t>
      </w:r>
      <w:r w:rsidRPr="00210024">
        <w:rPr>
          <w:rFonts w:ascii="Times New Roman" w:hAnsi="Times New Roman" w:cs="Times New Roman"/>
          <w:sz w:val="24"/>
          <w:szCs w:val="24"/>
        </w:rPr>
        <w:t xml:space="preserve"> of participation </w:t>
      </w:r>
      <w:r w:rsidR="002A5618">
        <w:rPr>
          <w:rFonts w:ascii="Times New Roman" w:hAnsi="Times New Roman" w:cs="Times New Roman"/>
          <w:sz w:val="24"/>
          <w:szCs w:val="24"/>
        </w:rPr>
        <w:t>in</w:t>
      </w:r>
      <w:r w:rsidR="00F87BA0" w:rsidRPr="00210024">
        <w:rPr>
          <w:rFonts w:ascii="Times New Roman" w:hAnsi="Times New Roman" w:cs="Times New Roman"/>
          <w:sz w:val="24"/>
          <w:szCs w:val="24"/>
        </w:rPr>
        <w:t xml:space="preserve"> labor force </w:t>
      </w:r>
      <w:r w:rsidRPr="00210024">
        <w:rPr>
          <w:rFonts w:ascii="Times New Roman" w:hAnsi="Times New Roman" w:cs="Times New Roman"/>
          <w:sz w:val="24"/>
          <w:szCs w:val="24"/>
        </w:rPr>
        <w:t>compared with th</w:t>
      </w:r>
      <w:r w:rsidR="00F87BA0" w:rsidRPr="00210024">
        <w:rPr>
          <w:rFonts w:ascii="Times New Roman" w:hAnsi="Times New Roman" w:cs="Times New Roman"/>
          <w:sz w:val="24"/>
          <w:szCs w:val="24"/>
        </w:rPr>
        <w:t>e past eight years, and that</w:t>
      </w:r>
      <w:r w:rsidRPr="00210024">
        <w:rPr>
          <w:rFonts w:ascii="Times New Roman" w:hAnsi="Times New Roman" w:cs="Times New Roman"/>
          <w:sz w:val="24"/>
          <w:szCs w:val="24"/>
        </w:rPr>
        <w:t xml:space="preserve"> turnout was 40.1%</w:t>
      </w:r>
      <w:r w:rsidR="002A5618">
        <w:rPr>
          <w:rFonts w:ascii="Times New Roman" w:hAnsi="Times New Roman" w:cs="Times New Roman"/>
          <w:sz w:val="24"/>
          <w:szCs w:val="24"/>
        </w:rPr>
        <w:t xml:space="preserve"> - </w:t>
      </w:r>
      <w:r w:rsidRPr="00210024">
        <w:rPr>
          <w:rFonts w:ascii="Times New Roman" w:hAnsi="Times New Roman" w:cs="Times New Roman"/>
          <w:sz w:val="24"/>
          <w:szCs w:val="24"/>
        </w:rPr>
        <w:t>43.0%. Despite</w:t>
      </w:r>
      <w:r w:rsidR="00F87BA0" w:rsidRPr="00210024">
        <w:rPr>
          <w:rFonts w:ascii="Times New Roman" w:hAnsi="Times New Roman" w:cs="Times New Roman"/>
          <w:sz w:val="24"/>
          <w:szCs w:val="24"/>
        </w:rPr>
        <w:t xml:space="preserve"> of</w:t>
      </w:r>
      <w:r w:rsidRPr="00210024">
        <w:rPr>
          <w:rFonts w:ascii="Times New Roman" w:hAnsi="Times New Roman" w:cs="Times New Roman"/>
          <w:sz w:val="24"/>
          <w:szCs w:val="24"/>
        </w:rPr>
        <w:t xml:space="preserve"> this increase in </w:t>
      </w:r>
      <w:r w:rsidR="00F87BA0" w:rsidRPr="00210024">
        <w:rPr>
          <w:rFonts w:ascii="Times New Roman" w:hAnsi="Times New Roman" w:cs="Times New Roman"/>
          <w:sz w:val="24"/>
          <w:szCs w:val="24"/>
        </w:rPr>
        <w:t>the percentage</w:t>
      </w:r>
      <w:r w:rsidRPr="00210024">
        <w:rPr>
          <w:rFonts w:ascii="Times New Roman" w:hAnsi="Times New Roman" w:cs="Times New Roman"/>
          <w:sz w:val="24"/>
          <w:szCs w:val="24"/>
        </w:rPr>
        <w:t xml:space="preserve"> of participation, they remain</w:t>
      </w:r>
      <w:r w:rsidR="00F87BA0" w:rsidRPr="00210024">
        <w:rPr>
          <w:rFonts w:ascii="Times New Roman" w:hAnsi="Times New Roman" w:cs="Times New Roman"/>
          <w:sz w:val="24"/>
          <w:szCs w:val="24"/>
        </w:rPr>
        <w:t>ed</w:t>
      </w:r>
      <w:r w:rsidRPr="00210024">
        <w:rPr>
          <w:rFonts w:ascii="Times New Roman" w:hAnsi="Times New Roman" w:cs="Times New Roman"/>
          <w:sz w:val="24"/>
          <w:szCs w:val="24"/>
        </w:rPr>
        <w:t xml:space="preserve"> low compared with neighboring countries. Also, this </w:t>
      </w:r>
      <w:r w:rsidR="00F87BA0" w:rsidRPr="00210024">
        <w:rPr>
          <w:rFonts w:ascii="Times New Roman" w:hAnsi="Times New Roman" w:cs="Times New Roman"/>
          <w:sz w:val="24"/>
          <w:szCs w:val="24"/>
        </w:rPr>
        <w:t xml:space="preserve">percentage varies between </w:t>
      </w:r>
      <w:r w:rsidRPr="00210024">
        <w:rPr>
          <w:rFonts w:ascii="Times New Roman" w:hAnsi="Times New Roman" w:cs="Times New Roman"/>
          <w:sz w:val="24"/>
          <w:szCs w:val="24"/>
        </w:rPr>
        <w:t xml:space="preserve">West Bank and Gaza Strip, the </w:t>
      </w:r>
      <w:r w:rsidR="00F87BA0" w:rsidRPr="00210024">
        <w:rPr>
          <w:rFonts w:ascii="Times New Roman" w:hAnsi="Times New Roman" w:cs="Times New Roman"/>
          <w:sz w:val="24"/>
          <w:szCs w:val="24"/>
        </w:rPr>
        <w:t>percentage</w:t>
      </w:r>
      <w:r w:rsidRPr="00210024">
        <w:rPr>
          <w:rFonts w:ascii="Times New Roman" w:hAnsi="Times New Roman" w:cs="Times New Roman"/>
          <w:sz w:val="24"/>
          <w:szCs w:val="24"/>
        </w:rPr>
        <w:t xml:space="preserve"> of partic</w:t>
      </w:r>
      <w:r w:rsidR="00F87BA0" w:rsidRPr="00210024">
        <w:rPr>
          <w:rFonts w:ascii="Times New Roman" w:hAnsi="Times New Roman" w:cs="Times New Roman"/>
          <w:sz w:val="24"/>
          <w:szCs w:val="24"/>
        </w:rPr>
        <w:t xml:space="preserve">ipation in the labor </w:t>
      </w:r>
      <w:r w:rsidR="00F87BA0" w:rsidRPr="00210024">
        <w:rPr>
          <w:rFonts w:ascii="Times New Roman" w:hAnsi="Times New Roman" w:cs="Times New Roman"/>
          <w:color w:val="000000" w:themeColor="text1"/>
          <w:sz w:val="24"/>
          <w:szCs w:val="24"/>
        </w:rPr>
        <w:t>force in</w:t>
      </w:r>
      <w:r w:rsidRPr="00845161">
        <w:rPr>
          <w:rFonts w:ascii="Times New Roman" w:hAnsi="Times New Roman" w:cs="Times New Roman"/>
          <w:color w:val="000000" w:themeColor="text1"/>
          <w:sz w:val="24"/>
          <w:szCs w:val="24"/>
        </w:rPr>
        <w:t xml:space="preserve"> </w:t>
      </w:r>
      <w:r w:rsidRPr="00210024">
        <w:rPr>
          <w:rFonts w:ascii="Times New Roman" w:hAnsi="Times New Roman" w:cs="Times New Roman"/>
          <w:color w:val="000000" w:themeColor="text1"/>
          <w:sz w:val="24"/>
          <w:szCs w:val="24"/>
        </w:rPr>
        <w:t xml:space="preserve">West Bank </w:t>
      </w:r>
      <w:r w:rsidR="009D78AB" w:rsidRPr="00210024">
        <w:rPr>
          <w:rFonts w:ascii="Times New Roman" w:hAnsi="Times New Roman" w:cs="Times New Roman"/>
          <w:color w:val="000000" w:themeColor="text1"/>
          <w:sz w:val="24"/>
          <w:szCs w:val="24"/>
        </w:rPr>
        <w:t>45.5</w:t>
      </w:r>
      <w:r w:rsidRPr="00210024">
        <w:rPr>
          <w:rFonts w:ascii="Times New Roman" w:hAnsi="Times New Roman" w:cs="Times New Roman"/>
          <w:color w:val="000000" w:themeColor="text1"/>
          <w:sz w:val="24"/>
          <w:szCs w:val="24"/>
        </w:rPr>
        <w:t xml:space="preserve"> %</w:t>
      </w:r>
      <w:r w:rsidR="00F87BA0" w:rsidRPr="00210024">
        <w:rPr>
          <w:rFonts w:ascii="Times New Roman" w:hAnsi="Times New Roman" w:cs="Times New Roman"/>
          <w:color w:val="000000" w:themeColor="text1"/>
          <w:sz w:val="24"/>
          <w:szCs w:val="24"/>
        </w:rPr>
        <w:t xml:space="preserve"> In 2011 compared to </w:t>
      </w:r>
      <w:r w:rsidR="009D78AB" w:rsidRPr="00210024">
        <w:rPr>
          <w:rFonts w:ascii="Times New Roman" w:hAnsi="Times New Roman" w:cs="Times New Roman"/>
          <w:color w:val="000000" w:themeColor="text1"/>
          <w:sz w:val="24"/>
          <w:szCs w:val="24"/>
        </w:rPr>
        <w:t>38.4%</w:t>
      </w:r>
      <w:r w:rsidR="008706B4" w:rsidRPr="00210024">
        <w:rPr>
          <w:rFonts w:ascii="Times New Roman" w:hAnsi="Times New Roman" w:cs="Times New Roman"/>
          <w:color w:val="000000" w:themeColor="text1"/>
          <w:sz w:val="24"/>
          <w:szCs w:val="24"/>
        </w:rPr>
        <w:t>i</w:t>
      </w:r>
      <w:r w:rsidR="00F87BA0" w:rsidRPr="00210024">
        <w:rPr>
          <w:rFonts w:ascii="Times New Roman" w:hAnsi="Times New Roman" w:cs="Times New Roman"/>
          <w:color w:val="000000" w:themeColor="text1"/>
          <w:sz w:val="24"/>
          <w:szCs w:val="24"/>
        </w:rPr>
        <w:t>n</w:t>
      </w:r>
      <w:r w:rsidRPr="00210024">
        <w:rPr>
          <w:rFonts w:ascii="Times New Roman" w:hAnsi="Times New Roman" w:cs="Times New Roman"/>
          <w:color w:val="000000" w:themeColor="text1"/>
          <w:sz w:val="24"/>
          <w:szCs w:val="24"/>
        </w:rPr>
        <w:t xml:space="preserve"> Gaza Strip.</w:t>
      </w:r>
    </w:p>
    <w:p w:rsidR="007A7FF4" w:rsidRPr="00210024" w:rsidRDefault="007A7FF4" w:rsidP="007A7FF4">
      <w:pPr>
        <w:shd w:val="clear" w:color="auto" w:fill="FFFFFF" w:themeFill="background1"/>
        <w:spacing w:after="0"/>
        <w:jc w:val="both"/>
        <w:rPr>
          <w:rFonts w:ascii="Times New Roman" w:hAnsi="Times New Roman" w:cs="Times New Roman"/>
          <w:color w:val="000000" w:themeColor="text1"/>
          <w:sz w:val="18"/>
          <w:szCs w:val="18"/>
        </w:rPr>
      </w:pPr>
    </w:p>
    <w:p w:rsidR="007A7FF4" w:rsidRPr="00210024" w:rsidRDefault="007A7FF4" w:rsidP="007A7FF4">
      <w:pPr>
        <w:shd w:val="clear" w:color="auto" w:fill="FFFFFF" w:themeFill="background1"/>
        <w:spacing w:after="0"/>
        <w:jc w:val="both"/>
        <w:rPr>
          <w:rFonts w:ascii="Times New Roman" w:hAnsi="Times New Roman" w:cs="Times New Roman"/>
          <w:color w:val="000000" w:themeColor="text1"/>
          <w:sz w:val="18"/>
          <w:szCs w:val="18"/>
        </w:rPr>
      </w:pPr>
    </w:p>
    <w:p w:rsidR="007A7FF4" w:rsidRPr="00210024" w:rsidRDefault="007A7FF4" w:rsidP="007A7FF4">
      <w:pPr>
        <w:shd w:val="clear" w:color="auto" w:fill="FFFFFF" w:themeFill="background1"/>
        <w:spacing w:after="0"/>
        <w:jc w:val="both"/>
        <w:rPr>
          <w:rFonts w:ascii="Times New Roman" w:hAnsi="Times New Roman" w:cs="Times New Roman"/>
          <w:color w:val="000000" w:themeColor="text1"/>
          <w:sz w:val="18"/>
          <w:szCs w:val="18"/>
        </w:rPr>
      </w:pPr>
    </w:p>
    <w:p w:rsidR="007A7FF4" w:rsidRPr="00210024" w:rsidRDefault="007A7FF4" w:rsidP="007A7FF4">
      <w:pPr>
        <w:shd w:val="clear" w:color="auto" w:fill="FFFFFF" w:themeFill="background1"/>
        <w:spacing w:after="0"/>
        <w:jc w:val="both"/>
        <w:rPr>
          <w:rFonts w:ascii="Times New Roman" w:hAnsi="Times New Roman" w:cs="Times New Roman"/>
          <w:color w:val="000000" w:themeColor="text1"/>
          <w:sz w:val="18"/>
          <w:szCs w:val="18"/>
        </w:rPr>
      </w:pPr>
    </w:p>
    <w:p w:rsidR="007A7FF4" w:rsidRDefault="007A7FF4" w:rsidP="007A7FF4">
      <w:pPr>
        <w:shd w:val="clear" w:color="auto" w:fill="FFFFFF" w:themeFill="background1"/>
        <w:spacing w:after="0"/>
        <w:jc w:val="both"/>
        <w:rPr>
          <w:rFonts w:ascii="Times New Roman" w:hAnsi="Times New Roman" w:cs="Times New Roman"/>
          <w:color w:val="000000" w:themeColor="text1"/>
          <w:sz w:val="18"/>
          <w:szCs w:val="18"/>
        </w:rPr>
      </w:pPr>
    </w:p>
    <w:p w:rsidR="00992AD0" w:rsidRDefault="00992AD0" w:rsidP="007A7FF4">
      <w:pPr>
        <w:shd w:val="clear" w:color="auto" w:fill="FFFFFF" w:themeFill="background1"/>
        <w:spacing w:after="0"/>
        <w:jc w:val="both"/>
        <w:rPr>
          <w:rFonts w:ascii="Times New Roman" w:hAnsi="Times New Roman" w:cs="Times New Roman"/>
          <w:color w:val="000000" w:themeColor="text1"/>
          <w:sz w:val="18"/>
          <w:szCs w:val="18"/>
        </w:rPr>
      </w:pPr>
    </w:p>
    <w:p w:rsidR="00B87732" w:rsidRDefault="00B87732" w:rsidP="007A7FF4">
      <w:pPr>
        <w:shd w:val="clear" w:color="auto" w:fill="FFFFFF" w:themeFill="background1"/>
        <w:spacing w:after="0"/>
        <w:jc w:val="both"/>
        <w:rPr>
          <w:rFonts w:ascii="Times New Roman" w:hAnsi="Times New Roman" w:cs="Times New Roman"/>
          <w:color w:val="000000" w:themeColor="text1"/>
          <w:sz w:val="18"/>
          <w:szCs w:val="18"/>
        </w:rPr>
      </w:pPr>
    </w:p>
    <w:p w:rsidR="00E2628E" w:rsidRDefault="00E2628E" w:rsidP="007A7FF4">
      <w:pPr>
        <w:shd w:val="clear" w:color="auto" w:fill="FFFFFF" w:themeFill="background1"/>
        <w:spacing w:after="0"/>
        <w:jc w:val="both"/>
        <w:rPr>
          <w:rFonts w:ascii="Times New Roman" w:hAnsi="Times New Roman" w:cs="Times New Roman"/>
          <w:color w:val="000000" w:themeColor="text1"/>
          <w:sz w:val="18"/>
          <w:szCs w:val="18"/>
        </w:rPr>
      </w:pPr>
    </w:p>
    <w:p w:rsidR="00E2628E" w:rsidRDefault="00E2628E" w:rsidP="007A7FF4">
      <w:pPr>
        <w:shd w:val="clear" w:color="auto" w:fill="FFFFFF" w:themeFill="background1"/>
        <w:spacing w:after="0"/>
        <w:jc w:val="both"/>
        <w:rPr>
          <w:rFonts w:ascii="Times New Roman" w:hAnsi="Times New Roman" w:cs="Times New Roman"/>
          <w:color w:val="000000" w:themeColor="text1"/>
          <w:sz w:val="18"/>
          <w:szCs w:val="18"/>
        </w:rPr>
      </w:pPr>
    </w:p>
    <w:p w:rsidR="00845161" w:rsidRDefault="00845161" w:rsidP="007A7FF4">
      <w:pPr>
        <w:shd w:val="clear" w:color="auto" w:fill="FFFFFF" w:themeFill="background1"/>
        <w:spacing w:after="0"/>
        <w:jc w:val="both"/>
        <w:rPr>
          <w:rFonts w:ascii="Times New Roman" w:hAnsi="Times New Roman" w:cs="Times New Roman"/>
          <w:color w:val="000000" w:themeColor="text1"/>
          <w:sz w:val="18"/>
          <w:szCs w:val="18"/>
        </w:rPr>
      </w:pPr>
    </w:p>
    <w:p w:rsidR="00845161" w:rsidRPr="00210024" w:rsidRDefault="00845161" w:rsidP="007A7FF4">
      <w:pPr>
        <w:shd w:val="clear" w:color="auto" w:fill="FFFFFF" w:themeFill="background1"/>
        <w:spacing w:after="0"/>
        <w:jc w:val="both"/>
        <w:rPr>
          <w:rFonts w:ascii="Times New Roman" w:hAnsi="Times New Roman" w:cs="Times New Roman"/>
          <w:color w:val="000000" w:themeColor="text1"/>
          <w:sz w:val="18"/>
          <w:szCs w:val="18"/>
        </w:rPr>
      </w:pPr>
    </w:p>
    <w:p w:rsidR="008A3152" w:rsidRDefault="008A3152" w:rsidP="003D7704">
      <w:pPr>
        <w:spacing w:after="0" w:line="360" w:lineRule="auto"/>
        <w:jc w:val="both"/>
        <w:rPr>
          <w:rFonts w:ascii="Times New Roman" w:hAnsi="Times New Roman" w:cs="Times New Roman"/>
          <w:sz w:val="24"/>
          <w:szCs w:val="24"/>
        </w:rPr>
      </w:pPr>
      <w:r w:rsidRPr="00210024">
        <w:rPr>
          <w:rFonts w:ascii="Times New Roman" w:hAnsi="Times New Roman" w:cs="Times New Roman"/>
          <w:b/>
          <w:bCs/>
          <w:sz w:val="24"/>
          <w:szCs w:val="24"/>
        </w:rPr>
        <w:t xml:space="preserve">In 2011, the number of </w:t>
      </w:r>
      <w:r w:rsidR="00940DEB">
        <w:rPr>
          <w:rFonts w:ascii="Times New Roman" w:hAnsi="Times New Roman" w:cs="Times New Roman"/>
          <w:b/>
          <w:bCs/>
          <w:sz w:val="24"/>
          <w:szCs w:val="24"/>
        </w:rPr>
        <w:t>employees</w:t>
      </w:r>
      <w:r w:rsidRPr="00210024">
        <w:rPr>
          <w:rFonts w:ascii="Times New Roman" w:hAnsi="Times New Roman" w:cs="Times New Roman"/>
          <w:b/>
          <w:bCs/>
          <w:sz w:val="24"/>
          <w:szCs w:val="24"/>
        </w:rPr>
        <w:t> increased by 12.6% compared with 2010. Number of </w:t>
      </w:r>
      <w:r w:rsidR="00940DEB">
        <w:rPr>
          <w:rFonts w:ascii="Times New Roman" w:hAnsi="Times New Roman" w:cs="Times New Roman"/>
          <w:b/>
          <w:bCs/>
          <w:sz w:val="24"/>
          <w:szCs w:val="24"/>
        </w:rPr>
        <w:t>employees</w:t>
      </w:r>
      <w:r w:rsidRPr="00210024">
        <w:rPr>
          <w:rFonts w:ascii="Times New Roman" w:hAnsi="Times New Roman" w:cs="Times New Roman"/>
          <w:b/>
          <w:bCs/>
          <w:sz w:val="24"/>
          <w:szCs w:val="24"/>
        </w:rPr>
        <w:t> in</w:t>
      </w:r>
      <w:r w:rsidR="003D7704">
        <w:rPr>
          <w:rFonts w:ascii="Times New Roman" w:hAnsi="Times New Roman" w:cs="Times New Roman" w:hint="cs"/>
          <w:b/>
          <w:bCs/>
          <w:sz w:val="24"/>
          <w:szCs w:val="24"/>
          <w:rtl/>
        </w:rPr>
        <w:t xml:space="preserve"> </w:t>
      </w:r>
      <w:r w:rsidRPr="00210024">
        <w:rPr>
          <w:rFonts w:ascii="Times New Roman" w:hAnsi="Times New Roman" w:cs="Times New Roman"/>
          <w:b/>
          <w:bCs/>
          <w:sz w:val="24"/>
          <w:szCs w:val="24"/>
        </w:rPr>
        <w:t xml:space="preserve">the Palestinian </w:t>
      </w:r>
      <w:r w:rsidR="002C7C30">
        <w:rPr>
          <w:rFonts w:ascii="Times New Roman" w:hAnsi="Times New Roman" w:cs="Times New Roman"/>
          <w:b/>
          <w:bCs/>
          <w:sz w:val="24"/>
          <w:szCs w:val="24"/>
        </w:rPr>
        <w:t>Territory</w:t>
      </w:r>
      <w:r w:rsidRPr="00210024">
        <w:rPr>
          <w:rFonts w:ascii="Times New Roman" w:hAnsi="Times New Roman" w:cs="Times New Roman"/>
          <w:b/>
          <w:bCs/>
          <w:sz w:val="24"/>
          <w:szCs w:val="24"/>
        </w:rPr>
        <w:t xml:space="preserve"> reached 837</w:t>
      </w:r>
      <w:r w:rsidR="00992AD0">
        <w:rPr>
          <w:rFonts w:ascii="Times New Roman" w:hAnsi="Times New Roman" w:cs="Times New Roman"/>
          <w:b/>
          <w:bCs/>
          <w:sz w:val="24"/>
          <w:szCs w:val="24"/>
        </w:rPr>
        <w:t xml:space="preserve"> thousand</w:t>
      </w:r>
      <w:r w:rsidRPr="00210024">
        <w:rPr>
          <w:rFonts w:ascii="Times New Roman" w:hAnsi="Times New Roman" w:cs="Times New Roman"/>
          <w:b/>
          <w:bCs/>
          <w:sz w:val="24"/>
          <w:szCs w:val="24"/>
        </w:rPr>
        <w:t xml:space="preserve"> </w:t>
      </w:r>
      <w:r w:rsidR="00940DEB">
        <w:rPr>
          <w:rFonts w:ascii="Times New Roman" w:hAnsi="Times New Roman" w:cs="Times New Roman"/>
          <w:b/>
          <w:bCs/>
          <w:sz w:val="24"/>
          <w:szCs w:val="24"/>
        </w:rPr>
        <w:t>employees</w:t>
      </w:r>
      <w:r w:rsidRPr="00210024">
        <w:rPr>
          <w:rFonts w:ascii="Times New Roman" w:hAnsi="Times New Roman" w:cs="Times New Roman"/>
          <w:b/>
          <w:bCs/>
          <w:sz w:val="24"/>
          <w:szCs w:val="24"/>
        </w:rPr>
        <w:t> in 2011 compared</w:t>
      </w:r>
      <w:r w:rsidR="003D7704">
        <w:rPr>
          <w:rFonts w:ascii="Times New Roman" w:hAnsi="Times New Roman" w:cs="Times New Roman" w:hint="cs"/>
          <w:b/>
          <w:bCs/>
          <w:sz w:val="24"/>
          <w:szCs w:val="24"/>
          <w:rtl/>
        </w:rPr>
        <w:t xml:space="preserve"> </w:t>
      </w:r>
      <w:r w:rsidRPr="00210024">
        <w:rPr>
          <w:rFonts w:ascii="Times New Roman" w:hAnsi="Times New Roman" w:cs="Times New Roman"/>
          <w:b/>
          <w:bCs/>
          <w:sz w:val="24"/>
          <w:szCs w:val="24"/>
        </w:rPr>
        <w:t>to 744</w:t>
      </w:r>
      <w:r w:rsidR="007C3366">
        <w:rPr>
          <w:rFonts w:ascii="Times New Roman" w:hAnsi="Times New Roman" w:cs="Times New Roman"/>
          <w:b/>
          <w:bCs/>
          <w:sz w:val="24"/>
          <w:szCs w:val="24"/>
        </w:rPr>
        <w:t xml:space="preserve"> thousand </w:t>
      </w:r>
      <w:r w:rsidRPr="00210024">
        <w:rPr>
          <w:rFonts w:ascii="Times New Roman" w:hAnsi="Times New Roman" w:cs="Times New Roman"/>
          <w:b/>
          <w:bCs/>
          <w:sz w:val="24"/>
          <w:szCs w:val="24"/>
        </w:rPr>
        <w:t>in 2010.</w:t>
      </w:r>
      <w:r w:rsidR="003D7704">
        <w:rPr>
          <w:rFonts w:ascii="Times New Roman" w:hAnsi="Times New Roman" w:cs="Times New Roman" w:hint="cs"/>
          <w:b/>
          <w:bCs/>
          <w:sz w:val="24"/>
          <w:szCs w:val="24"/>
          <w:rtl/>
        </w:rPr>
        <w:t xml:space="preserve"> </w:t>
      </w:r>
      <w:r w:rsidRPr="00210024">
        <w:rPr>
          <w:rFonts w:ascii="Times New Roman" w:hAnsi="Times New Roman" w:cs="Times New Roman"/>
          <w:sz w:val="24"/>
          <w:szCs w:val="24"/>
        </w:rPr>
        <w:t xml:space="preserve">Such increase in the number of </w:t>
      </w:r>
      <w:r w:rsidR="00940DEB">
        <w:rPr>
          <w:rFonts w:ascii="Times New Roman" w:hAnsi="Times New Roman" w:cs="Times New Roman"/>
          <w:sz w:val="24"/>
          <w:szCs w:val="24"/>
        </w:rPr>
        <w:t>employees</w:t>
      </w:r>
      <w:r w:rsidRPr="00210024">
        <w:rPr>
          <w:rFonts w:ascii="Times New Roman" w:hAnsi="Times New Roman" w:cs="Times New Roman"/>
          <w:sz w:val="24"/>
          <w:szCs w:val="24"/>
        </w:rPr>
        <w:t xml:space="preserve"> during the last three years comes after the decrease in the number of </w:t>
      </w:r>
      <w:r w:rsidR="00940DEB">
        <w:rPr>
          <w:rFonts w:ascii="Times New Roman" w:hAnsi="Times New Roman" w:cs="Times New Roman"/>
          <w:sz w:val="24"/>
          <w:szCs w:val="24"/>
        </w:rPr>
        <w:t>employees</w:t>
      </w:r>
      <w:r w:rsidRPr="00210024">
        <w:rPr>
          <w:rFonts w:ascii="Times New Roman" w:hAnsi="Times New Roman" w:cs="Times New Roman"/>
          <w:sz w:val="24"/>
          <w:szCs w:val="24"/>
        </w:rPr>
        <w:t xml:space="preserve"> in the Palestinian </w:t>
      </w:r>
      <w:r w:rsidR="002C7C30">
        <w:rPr>
          <w:rFonts w:ascii="Times New Roman" w:hAnsi="Times New Roman" w:cs="Times New Roman"/>
          <w:sz w:val="24"/>
          <w:szCs w:val="24"/>
        </w:rPr>
        <w:t>Territory</w:t>
      </w:r>
      <w:r w:rsidRPr="00210024">
        <w:rPr>
          <w:rFonts w:ascii="Times New Roman" w:hAnsi="Times New Roman" w:cs="Times New Roman"/>
          <w:sz w:val="24"/>
          <w:szCs w:val="24"/>
        </w:rPr>
        <w:t xml:space="preserve"> in 2008. The increase in the number of </w:t>
      </w:r>
      <w:r w:rsidR="00940DEB">
        <w:rPr>
          <w:rFonts w:ascii="Times New Roman" w:hAnsi="Times New Roman" w:cs="Times New Roman"/>
          <w:sz w:val="24"/>
          <w:szCs w:val="24"/>
        </w:rPr>
        <w:t>employees</w:t>
      </w:r>
      <w:r w:rsidRPr="00210024">
        <w:rPr>
          <w:rFonts w:ascii="Times New Roman" w:hAnsi="Times New Roman" w:cs="Times New Roman"/>
          <w:sz w:val="24"/>
          <w:szCs w:val="24"/>
        </w:rPr>
        <w:t xml:space="preserve"> during 2011 is related to the increase in the number of </w:t>
      </w:r>
      <w:r w:rsidR="00940DEB">
        <w:rPr>
          <w:rFonts w:ascii="Times New Roman" w:hAnsi="Times New Roman" w:cs="Times New Roman"/>
          <w:sz w:val="24"/>
          <w:szCs w:val="24"/>
        </w:rPr>
        <w:t>employees</w:t>
      </w:r>
      <w:r w:rsidRPr="00210024">
        <w:rPr>
          <w:rFonts w:ascii="Times New Roman" w:hAnsi="Times New Roman" w:cs="Times New Roman"/>
          <w:sz w:val="24"/>
          <w:szCs w:val="24"/>
        </w:rPr>
        <w:t> in Gaza Strip </w:t>
      </w:r>
      <w:r w:rsidR="00B87732" w:rsidRPr="00210024">
        <w:rPr>
          <w:rFonts w:ascii="Times New Roman" w:hAnsi="Times New Roman" w:cs="Times New Roman"/>
          <w:sz w:val="24"/>
          <w:szCs w:val="24"/>
        </w:rPr>
        <w:t>25.9%</w:t>
      </w:r>
      <w:r w:rsidRPr="00210024">
        <w:rPr>
          <w:rFonts w:ascii="Times New Roman" w:hAnsi="Times New Roman" w:cs="Times New Roman"/>
          <w:sz w:val="24"/>
          <w:szCs w:val="24"/>
        </w:rPr>
        <w:t>which reached </w:t>
      </w:r>
      <w:r w:rsidR="007C3366">
        <w:rPr>
          <w:rFonts w:ascii="Times New Roman" w:hAnsi="Times New Roman" w:cs="Times New Roman"/>
          <w:sz w:val="24"/>
          <w:szCs w:val="24"/>
        </w:rPr>
        <w:t>243 thousand</w:t>
      </w:r>
      <w:r w:rsidR="00B87732" w:rsidRPr="00210024">
        <w:rPr>
          <w:rFonts w:ascii="Times New Roman" w:hAnsi="Times New Roman" w:cs="Times New Roman"/>
          <w:sz w:val="24"/>
          <w:szCs w:val="24"/>
        </w:rPr>
        <w:t xml:space="preserve"> </w:t>
      </w:r>
      <w:r w:rsidR="00940DEB">
        <w:rPr>
          <w:rFonts w:ascii="Times New Roman" w:hAnsi="Times New Roman" w:cs="Times New Roman"/>
          <w:sz w:val="24"/>
          <w:szCs w:val="24"/>
        </w:rPr>
        <w:t>employees</w:t>
      </w:r>
      <w:r w:rsidR="00B87732" w:rsidRPr="00210024">
        <w:rPr>
          <w:rFonts w:ascii="Times New Roman" w:hAnsi="Times New Roman" w:cs="Times New Roman"/>
          <w:sz w:val="24"/>
          <w:szCs w:val="24"/>
        </w:rPr>
        <w:t>.</w:t>
      </w:r>
    </w:p>
    <w:p w:rsidR="00DA653C" w:rsidRPr="00210024" w:rsidRDefault="00DA653C" w:rsidP="006A40C3">
      <w:pPr>
        <w:spacing w:after="0" w:line="360" w:lineRule="auto"/>
        <w:jc w:val="both"/>
        <w:rPr>
          <w:rFonts w:ascii="Times New Roman" w:hAnsi="Times New Roman" w:cs="Times New Roman"/>
          <w:sz w:val="24"/>
          <w:szCs w:val="24"/>
        </w:rPr>
      </w:pPr>
    </w:p>
    <w:p w:rsidR="008A3152" w:rsidRDefault="008A3152" w:rsidP="007A7FF4">
      <w:pPr>
        <w:spacing w:after="0" w:line="360" w:lineRule="auto"/>
        <w:jc w:val="both"/>
        <w:rPr>
          <w:rFonts w:ascii="Times New Roman" w:hAnsi="Times New Roman" w:cs="Times New Roman"/>
          <w:sz w:val="24"/>
          <w:szCs w:val="24"/>
        </w:rPr>
      </w:pPr>
      <w:r w:rsidRPr="00210024">
        <w:rPr>
          <w:rFonts w:ascii="Times New Roman" w:hAnsi="Times New Roman" w:cs="Times New Roman"/>
          <w:b/>
          <w:bCs/>
          <w:sz w:val="24"/>
          <w:szCs w:val="24"/>
        </w:rPr>
        <w:t xml:space="preserve">As a result, the </w:t>
      </w:r>
      <w:r w:rsidR="007C3366">
        <w:rPr>
          <w:rFonts w:ascii="Times New Roman" w:hAnsi="Times New Roman" w:cs="Times New Roman"/>
          <w:b/>
          <w:bCs/>
          <w:sz w:val="24"/>
          <w:szCs w:val="24"/>
        </w:rPr>
        <w:t xml:space="preserve">unemployment rate </w:t>
      </w:r>
      <w:r w:rsidR="0037118C" w:rsidRPr="00210024">
        <w:rPr>
          <w:rFonts w:ascii="Times New Roman" w:hAnsi="Times New Roman" w:cs="Times New Roman"/>
          <w:b/>
          <w:bCs/>
          <w:sz w:val="24"/>
          <w:szCs w:val="24"/>
        </w:rPr>
        <w:t xml:space="preserve">in the Palestinian </w:t>
      </w:r>
      <w:r w:rsidR="002C7C30">
        <w:rPr>
          <w:rFonts w:ascii="Times New Roman" w:hAnsi="Times New Roman" w:cs="Times New Roman"/>
          <w:b/>
          <w:bCs/>
          <w:sz w:val="24"/>
          <w:szCs w:val="24"/>
        </w:rPr>
        <w:t>Territory</w:t>
      </w:r>
      <w:r w:rsidRPr="00210024">
        <w:rPr>
          <w:rFonts w:ascii="Times New Roman" w:hAnsi="Times New Roman" w:cs="Times New Roman"/>
          <w:b/>
          <w:bCs/>
          <w:sz w:val="24"/>
          <w:szCs w:val="24"/>
        </w:rPr>
        <w:t xml:space="preserve"> decreased to 20.9% in 2011 compared with 23.7% in the year 2010. This percentage is the lowest since the outbreak of the Al-Aqsa Intifada in late 2000. </w:t>
      </w:r>
      <w:r w:rsidRPr="00210024">
        <w:rPr>
          <w:rFonts w:ascii="Times New Roman" w:hAnsi="Times New Roman" w:cs="Times New Roman"/>
          <w:sz w:val="24"/>
          <w:szCs w:val="24"/>
        </w:rPr>
        <w:t xml:space="preserve">The decrease in the </w:t>
      </w:r>
      <w:r w:rsidR="007C3366">
        <w:rPr>
          <w:rFonts w:ascii="Times New Roman" w:hAnsi="Times New Roman" w:cs="Times New Roman"/>
          <w:sz w:val="24"/>
          <w:szCs w:val="24"/>
        </w:rPr>
        <w:t xml:space="preserve">unemployment rate </w:t>
      </w:r>
      <w:r w:rsidRPr="00210024">
        <w:rPr>
          <w:rFonts w:ascii="Times New Roman" w:hAnsi="Times New Roman" w:cs="Times New Roman"/>
          <w:sz w:val="24"/>
          <w:szCs w:val="24"/>
        </w:rPr>
        <w:t xml:space="preserve">in the Palestinian </w:t>
      </w:r>
      <w:r w:rsidR="002C7C30">
        <w:rPr>
          <w:rFonts w:ascii="Times New Roman" w:hAnsi="Times New Roman" w:cs="Times New Roman"/>
          <w:sz w:val="24"/>
          <w:szCs w:val="24"/>
        </w:rPr>
        <w:t>Territory</w:t>
      </w:r>
      <w:r w:rsidRPr="00210024">
        <w:rPr>
          <w:rFonts w:ascii="Times New Roman" w:hAnsi="Times New Roman" w:cs="Times New Roman"/>
          <w:sz w:val="24"/>
          <w:szCs w:val="24"/>
        </w:rPr>
        <w:t xml:space="preserve"> is related to the decrease in the </w:t>
      </w:r>
      <w:r w:rsidR="007C3366">
        <w:rPr>
          <w:rFonts w:ascii="Times New Roman" w:hAnsi="Times New Roman" w:cs="Times New Roman"/>
          <w:sz w:val="24"/>
          <w:szCs w:val="24"/>
        </w:rPr>
        <w:t xml:space="preserve">unemployment rate </w:t>
      </w:r>
      <w:r w:rsidRPr="00210024">
        <w:rPr>
          <w:rFonts w:ascii="Times New Roman" w:hAnsi="Times New Roman" w:cs="Times New Roman"/>
          <w:sz w:val="24"/>
          <w:szCs w:val="24"/>
        </w:rPr>
        <w:t>in the Gaza Strip, which reached 28.7% in 2011 compared with 37.8</w:t>
      </w:r>
      <w:r w:rsidR="007C3366">
        <w:rPr>
          <w:rFonts w:ascii="Times New Roman" w:hAnsi="Times New Roman" w:cs="Times New Roman"/>
          <w:sz w:val="24"/>
          <w:szCs w:val="24"/>
        </w:rPr>
        <w:t>%</w:t>
      </w:r>
      <w:r w:rsidRPr="00210024">
        <w:rPr>
          <w:rFonts w:ascii="Times New Roman" w:hAnsi="Times New Roman" w:cs="Times New Roman"/>
          <w:sz w:val="24"/>
          <w:szCs w:val="24"/>
        </w:rPr>
        <w:t xml:space="preserve"> in 2010; while the unemployment rate in the West Bank increased to 17.3% after it was 17.2%. Although there was an improvement in the </w:t>
      </w:r>
      <w:r w:rsidR="007C3366">
        <w:rPr>
          <w:rFonts w:ascii="Times New Roman" w:hAnsi="Times New Roman" w:cs="Times New Roman"/>
          <w:sz w:val="24"/>
          <w:szCs w:val="24"/>
        </w:rPr>
        <w:t xml:space="preserve">unemployment rate </w:t>
      </w:r>
      <w:r w:rsidRPr="00210024">
        <w:rPr>
          <w:rFonts w:ascii="Times New Roman" w:hAnsi="Times New Roman" w:cs="Times New Roman"/>
          <w:sz w:val="24"/>
          <w:szCs w:val="24"/>
        </w:rPr>
        <w:t xml:space="preserve">in the Gaza Strip, it remains much higher than the </w:t>
      </w:r>
      <w:r w:rsidR="007C3366">
        <w:rPr>
          <w:rFonts w:ascii="Times New Roman" w:hAnsi="Times New Roman" w:cs="Times New Roman"/>
          <w:sz w:val="24"/>
          <w:szCs w:val="24"/>
        </w:rPr>
        <w:t xml:space="preserve">unemployment rate </w:t>
      </w:r>
      <w:r w:rsidRPr="00210024">
        <w:rPr>
          <w:rFonts w:ascii="Times New Roman" w:hAnsi="Times New Roman" w:cs="Times New Roman"/>
          <w:sz w:val="24"/>
          <w:szCs w:val="24"/>
        </w:rPr>
        <w:t>in the West Bank.</w:t>
      </w:r>
    </w:p>
    <w:p w:rsidR="00DA653C" w:rsidRPr="00210024" w:rsidRDefault="00DA653C" w:rsidP="007A7FF4">
      <w:pPr>
        <w:spacing w:after="0" w:line="360" w:lineRule="auto"/>
        <w:jc w:val="both"/>
        <w:rPr>
          <w:rFonts w:ascii="Times New Roman" w:hAnsi="Times New Roman" w:cs="Times New Roman"/>
          <w:sz w:val="24"/>
          <w:szCs w:val="24"/>
        </w:rPr>
      </w:pPr>
    </w:p>
    <w:p w:rsidR="008A3152" w:rsidRPr="009179BD" w:rsidRDefault="008A3152" w:rsidP="009179BD">
      <w:pPr>
        <w:pStyle w:val="xl69"/>
        <w:spacing w:before="0" w:beforeAutospacing="0" w:after="0" w:afterAutospacing="0"/>
        <w:textAlignment w:val="top"/>
        <w:rPr>
          <w:rFonts w:cs="Times New Roman" w:hint="default"/>
        </w:rPr>
      </w:pPr>
      <w:r w:rsidRPr="00210024">
        <w:rPr>
          <w:rFonts w:eastAsia="Calibri" w:cs="Times New Roman" w:hint="default"/>
        </w:rPr>
        <w:t xml:space="preserve">Figure 5: Unemployment rate in the Palestinian </w:t>
      </w:r>
      <w:r w:rsidR="002C7C30">
        <w:rPr>
          <w:rFonts w:eastAsia="Calibri" w:cs="Times New Roman" w:hint="default"/>
        </w:rPr>
        <w:t>Territory</w:t>
      </w:r>
      <w:r w:rsidRPr="009179BD">
        <w:rPr>
          <w:rFonts w:cs="Times New Roman"/>
        </w:rPr>
        <w:t>, (2004-2011)</w:t>
      </w:r>
    </w:p>
    <w:p w:rsidR="008A3152" w:rsidRPr="00210024" w:rsidRDefault="008A3152" w:rsidP="007A7FF4">
      <w:pPr>
        <w:spacing w:after="0"/>
        <w:jc w:val="center"/>
        <w:rPr>
          <w:rFonts w:ascii="Times New Roman" w:hAnsi="Times New Roman" w:cs="Times New Roman"/>
          <w:sz w:val="24"/>
          <w:szCs w:val="24"/>
        </w:rPr>
      </w:pPr>
      <w:r w:rsidRPr="00210024">
        <w:rPr>
          <w:rFonts w:ascii="Times New Roman" w:hAnsi="Times New Roman" w:cs="Times New Roman"/>
          <w:noProof/>
          <w:sz w:val="24"/>
          <w:szCs w:val="24"/>
        </w:rPr>
        <w:drawing>
          <wp:inline distT="0" distB="0" distL="0" distR="0">
            <wp:extent cx="5181600" cy="2724150"/>
            <wp:effectExtent l="19050" t="0" r="19050" b="0"/>
            <wp:docPr id="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87732" w:rsidRPr="00210024" w:rsidRDefault="008A3152" w:rsidP="007A7FF4">
      <w:pPr>
        <w:spacing w:after="0" w:line="360" w:lineRule="auto"/>
        <w:jc w:val="both"/>
        <w:rPr>
          <w:rFonts w:ascii="Times New Roman" w:hAnsi="Times New Roman" w:cs="Times New Roman"/>
          <w:b/>
          <w:bCs/>
          <w:sz w:val="24"/>
          <w:szCs w:val="24"/>
        </w:rPr>
      </w:pPr>
      <w:r w:rsidRPr="00210024">
        <w:rPr>
          <w:rFonts w:ascii="Times New Roman" w:hAnsi="Times New Roman" w:cs="Times New Roman"/>
          <w:sz w:val="24"/>
          <w:szCs w:val="24"/>
        </w:rPr>
        <w:t> </w:t>
      </w:r>
      <w:r w:rsidRPr="00210024">
        <w:rPr>
          <w:rFonts w:ascii="Times New Roman" w:hAnsi="Times New Roman" w:cs="Times New Roman"/>
          <w:sz w:val="24"/>
          <w:szCs w:val="24"/>
        </w:rPr>
        <w:br/>
      </w:r>
    </w:p>
    <w:p w:rsidR="007A7FF4" w:rsidRDefault="007A7FF4" w:rsidP="007A7FF4">
      <w:pPr>
        <w:spacing w:after="0" w:line="360" w:lineRule="auto"/>
        <w:jc w:val="both"/>
        <w:rPr>
          <w:rFonts w:ascii="Times New Roman" w:hAnsi="Times New Roman" w:cs="Times New Roman"/>
          <w:b/>
          <w:bCs/>
          <w:sz w:val="24"/>
          <w:szCs w:val="24"/>
        </w:rPr>
      </w:pPr>
    </w:p>
    <w:p w:rsidR="00020161" w:rsidRDefault="00020161" w:rsidP="007A7FF4">
      <w:pPr>
        <w:spacing w:after="0" w:line="360" w:lineRule="auto"/>
        <w:jc w:val="both"/>
        <w:rPr>
          <w:rFonts w:ascii="Times New Roman" w:hAnsi="Times New Roman" w:cs="Times New Roman"/>
          <w:b/>
          <w:bCs/>
          <w:sz w:val="24"/>
          <w:szCs w:val="24"/>
        </w:rPr>
      </w:pPr>
    </w:p>
    <w:p w:rsidR="007A7FF4" w:rsidRPr="00210024" w:rsidRDefault="007A7FF4" w:rsidP="007A7FF4">
      <w:pPr>
        <w:spacing w:after="0" w:line="360" w:lineRule="auto"/>
        <w:jc w:val="both"/>
        <w:rPr>
          <w:rFonts w:ascii="Times New Roman" w:hAnsi="Times New Roman" w:cs="Times New Roman"/>
          <w:b/>
          <w:bCs/>
          <w:sz w:val="24"/>
          <w:szCs w:val="24"/>
        </w:rPr>
      </w:pPr>
    </w:p>
    <w:p w:rsidR="008A3152" w:rsidRDefault="008A3152" w:rsidP="0053226C">
      <w:pPr>
        <w:spacing w:after="0" w:line="360" w:lineRule="auto"/>
        <w:jc w:val="both"/>
        <w:rPr>
          <w:rFonts w:ascii="Times New Roman" w:hAnsi="Times New Roman" w:cs="Times New Roman"/>
          <w:sz w:val="24"/>
          <w:szCs w:val="24"/>
        </w:rPr>
      </w:pPr>
      <w:r w:rsidRPr="00210024">
        <w:rPr>
          <w:rFonts w:ascii="Times New Roman" w:hAnsi="Times New Roman" w:cs="Times New Roman"/>
          <w:b/>
          <w:bCs/>
          <w:sz w:val="24"/>
          <w:szCs w:val="24"/>
        </w:rPr>
        <w:lastRenderedPageBreak/>
        <w:t xml:space="preserve">Although the nominal daily wage rate was stable in the Palestinian </w:t>
      </w:r>
      <w:r w:rsidR="002C7C30">
        <w:rPr>
          <w:rFonts w:ascii="Times New Roman" w:hAnsi="Times New Roman" w:cs="Times New Roman"/>
          <w:b/>
          <w:bCs/>
          <w:sz w:val="24"/>
          <w:szCs w:val="24"/>
        </w:rPr>
        <w:t>Territory</w:t>
      </w:r>
      <w:r w:rsidRPr="00210024">
        <w:rPr>
          <w:rFonts w:ascii="Times New Roman" w:hAnsi="Times New Roman" w:cs="Times New Roman"/>
          <w:b/>
          <w:bCs/>
          <w:sz w:val="24"/>
          <w:szCs w:val="24"/>
        </w:rPr>
        <w:t xml:space="preserve"> in 2011, the real daily wage rate has dropped by 2.8% compared with 2010.</w:t>
      </w:r>
      <w:r w:rsidRPr="00210024">
        <w:rPr>
          <w:rFonts w:ascii="Times New Roman" w:hAnsi="Times New Roman" w:cs="Times New Roman"/>
          <w:sz w:val="24"/>
          <w:szCs w:val="24"/>
        </w:rPr>
        <w:t xml:space="preserve"> As it appears in Figure 6, the nominal daily wage rate reached NIS 91.7 in 2011. It is the same nominal wage rate in 2010, but about </w:t>
      </w:r>
      <w:r w:rsidR="0053226C">
        <w:rPr>
          <w:rFonts w:ascii="Times New Roman" w:hAnsi="Times New Roman" w:cs="Times New Roman"/>
          <w:sz w:val="24"/>
          <w:szCs w:val="24"/>
        </w:rPr>
        <w:t>12.5</w:t>
      </w:r>
      <w:r w:rsidRPr="00210024">
        <w:rPr>
          <w:rFonts w:ascii="Times New Roman" w:hAnsi="Times New Roman" w:cs="Times New Roman"/>
          <w:sz w:val="24"/>
          <w:szCs w:val="24"/>
        </w:rPr>
        <w:t xml:space="preserve">% higher than the nominal wage in 2006. However, if wages are linked with the change in prices in the Palestinian </w:t>
      </w:r>
      <w:r w:rsidR="002C7C30">
        <w:rPr>
          <w:rFonts w:ascii="Times New Roman" w:hAnsi="Times New Roman" w:cs="Times New Roman"/>
          <w:sz w:val="24"/>
          <w:szCs w:val="24"/>
        </w:rPr>
        <w:t>Territory</w:t>
      </w:r>
      <w:r w:rsidRPr="00210024">
        <w:rPr>
          <w:rFonts w:ascii="Times New Roman" w:hAnsi="Times New Roman" w:cs="Times New Roman"/>
          <w:sz w:val="24"/>
          <w:szCs w:val="24"/>
        </w:rPr>
        <w:t xml:space="preserve">, the real wage rate in 2011 is lower than in 2010 by 2.8% and less than it was in 2004 by about 6.4%. That refers to the low purchasing power of individuals in the Palestinian </w:t>
      </w:r>
      <w:r w:rsidR="002C7C30">
        <w:rPr>
          <w:rFonts w:ascii="Times New Roman" w:hAnsi="Times New Roman" w:cs="Times New Roman"/>
          <w:sz w:val="24"/>
          <w:szCs w:val="24"/>
        </w:rPr>
        <w:t>Territory</w:t>
      </w:r>
      <w:r w:rsidRPr="00210024">
        <w:rPr>
          <w:rFonts w:ascii="Times New Roman" w:hAnsi="Times New Roman" w:cs="Times New Roman"/>
          <w:sz w:val="24"/>
          <w:szCs w:val="24"/>
        </w:rPr>
        <w:t xml:space="preserve">. In other words, the increase in the nominal wage per worker was less than the rise in the price level in the Palestinian </w:t>
      </w:r>
      <w:r w:rsidR="002C7C30">
        <w:rPr>
          <w:rFonts w:ascii="Times New Roman" w:hAnsi="Times New Roman" w:cs="Times New Roman"/>
          <w:sz w:val="24"/>
          <w:szCs w:val="24"/>
        </w:rPr>
        <w:t>Territory</w:t>
      </w:r>
      <w:r w:rsidRPr="00210024">
        <w:rPr>
          <w:rFonts w:ascii="Times New Roman" w:hAnsi="Times New Roman" w:cs="Times New Roman"/>
          <w:sz w:val="24"/>
          <w:szCs w:val="24"/>
        </w:rPr>
        <w:t xml:space="preserve"> during that period.</w:t>
      </w:r>
    </w:p>
    <w:p w:rsidR="007275F9" w:rsidRPr="00210024" w:rsidRDefault="007275F9" w:rsidP="0053226C">
      <w:pPr>
        <w:spacing w:after="0" w:line="360" w:lineRule="auto"/>
        <w:jc w:val="both"/>
        <w:rPr>
          <w:rFonts w:ascii="Times New Roman" w:hAnsi="Times New Roman" w:cs="Times New Roman"/>
          <w:sz w:val="24"/>
          <w:szCs w:val="24"/>
        </w:rPr>
      </w:pPr>
    </w:p>
    <w:p w:rsidR="008A3152" w:rsidRPr="00210024" w:rsidRDefault="008A3152" w:rsidP="00D82D74">
      <w:pPr>
        <w:spacing w:after="0"/>
        <w:jc w:val="center"/>
        <w:rPr>
          <w:rFonts w:ascii="Times New Roman" w:hAnsi="Times New Roman" w:cs="Times New Roman"/>
          <w:b/>
          <w:bCs/>
        </w:rPr>
      </w:pPr>
      <w:r w:rsidRPr="00210024">
        <w:rPr>
          <w:rFonts w:ascii="Times New Roman" w:hAnsi="Times New Roman" w:cs="Times New Roman"/>
          <w:b/>
          <w:bCs/>
        </w:rPr>
        <w:t>Figure 6: Average Nominal and Real daily wage in NIS</w:t>
      </w:r>
      <w:r w:rsidR="00D82D74" w:rsidRPr="00D82D74">
        <w:rPr>
          <w:rFonts w:ascii="Times New Roman" w:hAnsi="Times New Roman" w:cs="Times New Roman"/>
          <w:b/>
          <w:bCs/>
        </w:rPr>
        <w:t xml:space="preserve"> </w:t>
      </w:r>
      <w:r w:rsidR="00D82D74" w:rsidRPr="004E405F">
        <w:rPr>
          <w:rFonts w:ascii="Times New Roman" w:hAnsi="Times New Roman" w:cs="Times New Roman"/>
          <w:b/>
          <w:bCs/>
        </w:rPr>
        <w:t>in</w:t>
      </w:r>
      <w:r w:rsidR="00D82D74">
        <w:rPr>
          <w:rFonts w:ascii="Times New Roman" w:hAnsi="Times New Roman" w:cs="Times New Roman"/>
          <w:b/>
          <w:bCs/>
        </w:rPr>
        <w:t xml:space="preserve"> the</w:t>
      </w:r>
      <w:r w:rsidR="00D82D74" w:rsidRPr="004E405F">
        <w:rPr>
          <w:rFonts w:ascii="Times New Roman" w:hAnsi="Times New Roman" w:cs="Times New Roman"/>
          <w:b/>
          <w:bCs/>
        </w:rPr>
        <w:t xml:space="preserve"> Palestinian </w:t>
      </w:r>
      <w:r w:rsidR="00D82D74">
        <w:rPr>
          <w:rFonts w:ascii="Times New Roman" w:hAnsi="Times New Roman" w:cs="Times New Roman"/>
          <w:b/>
          <w:bCs/>
        </w:rPr>
        <w:t>Territory</w:t>
      </w:r>
      <w:r w:rsidRPr="00210024">
        <w:rPr>
          <w:rFonts w:ascii="Times New Roman" w:hAnsi="Times New Roman" w:cs="Times New Roman"/>
          <w:b/>
          <w:bCs/>
        </w:rPr>
        <w:t>, (2004-2011)</w:t>
      </w:r>
    </w:p>
    <w:p w:rsidR="00B87732" w:rsidRPr="00210024" w:rsidRDefault="008A3152" w:rsidP="007A7FF4">
      <w:pPr>
        <w:spacing w:after="0"/>
        <w:jc w:val="center"/>
        <w:rPr>
          <w:rFonts w:ascii="Times New Roman" w:hAnsi="Times New Roman" w:cs="Times New Roman"/>
          <w:b/>
          <w:bCs/>
          <w:sz w:val="24"/>
          <w:szCs w:val="24"/>
        </w:rPr>
      </w:pPr>
      <w:r w:rsidRPr="00210024">
        <w:rPr>
          <w:rFonts w:ascii="Times New Roman" w:hAnsi="Times New Roman" w:cs="Times New Roman"/>
          <w:noProof/>
          <w:sz w:val="24"/>
          <w:szCs w:val="24"/>
        </w:rPr>
        <w:drawing>
          <wp:inline distT="0" distB="0" distL="0" distR="0">
            <wp:extent cx="4974483" cy="2493033"/>
            <wp:effectExtent l="19050" t="0" r="16617" b="2517"/>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210024">
        <w:rPr>
          <w:rFonts w:ascii="Times New Roman" w:hAnsi="Times New Roman" w:cs="Times New Roman"/>
          <w:sz w:val="24"/>
          <w:szCs w:val="24"/>
        </w:rPr>
        <w:br/>
      </w:r>
    </w:p>
    <w:p w:rsidR="008A3152" w:rsidRPr="00210024" w:rsidRDefault="008A3152" w:rsidP="007C3366">
      <w:pPr>
        <w:spacing w:after="0"/>
        <w:jc w:val="both"/>
        <w:rPr>
          <w:rFonts w:ascii="Times New Roman" w:hAnsi="Times New Roman" w:cs="Times New Roman"/>
          <w:sz w:val="24"/>
          <w:szCs w:val="24"/>
        </w:rPr>
      </w:pPr>
      <w:r w:rsidRPr="00210024">
        <w:rPr>
          <w:rFonts w:ascii="Times New Roman" w:hAnsi="Times New Roman" w:cs="Times New Roman"/>
          <w:b/>
          <w:bCs/>
          <w:sz w:val="24"/>
          <w:szCs w:val="24"/>
        </w:rPr>
        <w:t>During 2011, the productivit</w:t>
      </w:r>
      <w:r w:rsidR="0011753B" w:rsidRPr="00210024">
        <w:rPr>
          <w:rFonts w:ascii="Times New Roman" w:hAnsi="Times New Roman" w:cs="Times New Roman"/>
          <w:b/>
          <w:bCs/>
          <w:sz w:val="24"/>
          <w:szCs w:val="24"/>
        </w:rPr>
        <w:t xml:space="preserve">y in the Palestinian </w:t>
      </w:r>
      <w:r w:rsidR="002C7C30">
        <w:rPr>
          <w:rFonts w:ascii="Times New Roman" w:hAnsi="Times New Roman" w:cs="Times New Roman"/>
          <w:b/>
          <w:bCs/>
          <w:sz w:val="24"/>
          <w:szCs w:val="24"/>
        </w:rPr>
        <w:t>Territory</w:t>
      </w:r>
      <w:r w:rsidRPr="00210024">
        <w:rPr>
          <w:rFonts w:ascii="Times New Roman" w:hAnsi="Times New Roman" w:cs="Times New Roman"/>
          <w:b/>
          <w:bCs/>
          <w:sz w:val="24"/>
          <w:szCs w:val="24"/>
        </w:rPr>
        <w:t xml:space="preserve"> decreased by 3.9% compared with 2010.</w:t>
      </w:r>
      <w:r w:rsidRPr="00210024">
        <w:rPr>
          <w:rFonts w:ascii="Times New Roman" w:hAnsi="Times New Roman" w:cs="Times New Roman"/>
          <w:sz w:val="24"/>
          <w:szCs w:val="24"/>
        </w:rPr>
        <w:t xml:space="preserve"> The productivity is measured by the worker's share from the value added, i.e. by dividing the GDP (the sum of the value added) on the number of employees in the economy or in the sector. Worker productivity is an important indicator to measure the efficiency and effectiveness of work in achieving a certain level of the   production process outputs. There are many factors that play an important role in determining the level of worker productivity, including the quality of the inputs of production, technology, education, training and work environment represented in the laws and regulations of the labor market and other domains. Worker productivity fluctuated during the period 2004-2011, where it decreased continuously after 2004, reaching its lowest level in 2007 before starting to recover </w:t>
      </w:r>
      <w:r w:rsidR="00B87732" w:rsidRPr="00210024">
        <w:rPr>
          <w:rFonts w:ascii="Times New Roman" w:hAnsi="Times New Roman" w:cs="Times New Roman"/>
          <w:sz w:val="24"/>
          <w:szCs w:val="24"/>
        </w:rPr>
        <w:t xml:space="preserve"> </w:t>
      </w:r>
      <w:r w:rsidRPr="00210024">
        <w:rPr>
          <w:rFonts w:ascii="Times New Roman" w:hAnsi="Times New Roman" w:cs="Times New Roman"/>
          <w:sz w:val="24"/>
          <w:szCs w:val="24"/>
        </w:rPr>
        <w:t xml:space="preserve"> to reach the maximum rate by 2010 of $ 8,925.4 per worker (Figure 7).</w:t>
      </w:r>
    </w:p>
    <w:p w:rsidR="007A7FF4" w:rsidRPr="00210024" w:rsidRDefault="007A7FF4" w:rsidP="007A7FF4">
      <w:pPr>
        <w:spacing w:after="0"/>
        <w:jc w:val="both"/>
        <w:rPr>
          <w:rFonts w:ascii="Times New Roman" w:hAnsi="Times New Roman" w:cs="Times New Roman"/>
          <w:sz w:val="24"/>
          <w:szCs w:val="24"/>
        </w:rPr>
      </w:pPr>
    </w:p>
    <w:p w:rsidR="007A7FF4" w:rsidRPr="00210024" w:rsidRDefault="007A7FF4" w:rsidP="007A7FF4">
      <w:pPr>
        <w:spacing w:after="0"/>
        <w:jc w:val="both"/>
        <w:rPr>
          <w:rFonts w:ascii="Times New Roman" w:hAnsi="Times New Roman" w:cs="Times New Roman"/>
          <w:sz w:val="24"/>
          <w:szCs w:val="24"/>
        </w:rPr>
      </w:pPr>
    </w:p>
    <w:p w:rsidR="007C3366" w:rsidRDefault="007C3366" w:rsidP="007A7FF4">
      <w:pPr>
        <w:spacing w:after="0"/>
        <w:jc w:val="both"/>
        <w:rPr>
          <w:rFonts w:ascii="Times New Roman" w:hAnsi="Times New Roman" w:cs="Times New Roman"/>
          <w:sz w:val="24"/>
          <w:szCs w:val="24"/>
        </w:rPr>
      </w:pPr>
    </w:p>
    <w:p w:rsidR="00BB4C3A" w:rsidRDefault="00BB4C3A" w:rsidP="007A7FF4">
      <w:pPr>
        <w:spacing w:after="0"/>
        <w:jc w:val="both"/>
        <w:rPr>
          <w:rFonts w:ascii="Times New Roman" w:hAnsi="Times New Roman" w:cs="Times New Roman"/>
          <w:sz w:val="24"/>
          <w:szCs w:val="24"/>
        </w:rPr>
      </w:pPr>
    </w:p>
    <w:p w:rsidR="00BB4C3A" w:rsidRDefault="00BB4C3A" w:rsidP="007A7FF4">
      <w:pPr>
        <w:spacing w:after="0"/>
        <w:jc w:val="both"/>
        <w:rPr>
          <w:rFonts w:ascii="Times New Roman" w:hAnsi="Times New Roman" w:cs="Times New Roman"/>
          <w:sz w:val="24"/>
          <w:szCs w:val="24"/>
        </w:rPr>
      </w:pPr>
    </w:p>
    <w:p w:rsidR="008A3152" w:rsidRPr="00210024" w:rsidRDefault="008A3152" w:rsidP="007A7FF4">
      <w:pPr>
        <w:spacing w:after="0" w:line="240" w:lineRule="auto"/>
        <w:jc w:val="center"/>
        <w:rPr>
          <w:rFonts w:ascii="Times New Roman" w:hAnsi="Times New Roman" w:cs="Times New Roman"/>
          <w:b/>
          <w:bCs/>
          <w:rtl/>
        </w:rPr>
      </w:pPr>
      <w:r w:rsidRPr="00210024">
        <w:rPr>
          <w:rFonts w:ascii="Times New Roman" w:hAnsi="Times New Roman" w:cs="Times New Roman"/>
          <w:b/>
          <w:bCs/>
        </w:rPr>
        <w:lastRenderedPageBreak/>
        <w:t xml:space="preserve">Figure 7: Productivity rate of employees in the Palestinian </w:t>
      </w:r>
      <w:r w:rsidR="002C7C30">
        <w:rPr>
          <w:rFonts w:ascii="Times New Roman" w:hAnsi="Times New Roman" w:cs="Times New Roman"/>
          <w:b/>
          <w:bCs/>
        </w:rPr>
        <w:t>Territory</w:t>
      </w:r>
      <w:r w:rsidRPr="00210024">
        <w:rPr>
          <w:rFonts w:ascii="Times New Roman" w:hAnsi="Times New Roman" w:cs="Times New Roman"/>
          <w:b/>
          <w:bCs/>
        </w:rPr>
        <w:t xml:space="preserve">, </w:t>
      </w:r>
      <w:r w:rsidR="00D82D74">
        <w:rPr>
          <w:rFonts w:ascii="Times New Roman" w:hAnsi="Times New Roman" w:cs="Times New Roman"/>
          <w:b/>
          <w:bCs/>
        </w:rPr>
        <w:t>(</w:t>
      </w:r>
      <w:r w:rsidRPr="00210024">
        <w:rPr>
          <w:rFonts w:ascii="Times New Roman" w:hAnsi="Times New Roman" w:cs="Times New Roman"/>
          <w:b/>
          <w:bCs/>
        </w:rPr>
        <w:t>2004-2011</w:t>
      </w:r>
      <w:r w:rsidR="00D82D74">
        <w:rPr>
          <w:rFonts w:ascii="Times New Roman" w:hAnsi="Times New Roman" w:cs="Times New Roman"/>
          <w:b/>
          <w:bCs/>
        </w:rPr>
        <w:t>)</w:t>
      </w:r>
    </w:p>
    <w:p w:rsidR="008A3152" w:rsidRPr="00210024" w:rsidRDefault="008A3152" w:rsidP="007A7FF4">
      <w:pPr>
        <w:spacing w:after="0" w:line="240" w:lineRule="auto"/>
        <w:jc w:val="center"/>
        <w:rPr>
          <w:rFonts w:ascii="Times New Roman" w:hAnsi="Times New Roman" w:cs="Times New Roman"/>
          <w:b/>
          <w:bCs/>
          <w:rtl/>
          <w:lang w:val="en-GB"/>
        </w:rPr>
      </w:pPr>
      <w:r w:rsidRPr="00210024">
        <w:rPr>
          <w:rFonts w:ascii="Times New Roman" w:hAnsi="Times New Roman" w:cs="Times New Roman"/>
          <w:b/>
          <w:bCs/>
        </w:rPr>
        <w:t xml:space="preserve">(Value in </w:t>
      </w:r>
      <w:r w:rsidR="000E0C2C">
        <w:rPr>
          <w:rFonts w:ascii="Times New Roman" w:hAnsi="Times New Roman" w:cs="Times New Roman"/>
          <w:b/>
          <w:bCs/>
        </w:rPr>
        <w:t>USD</w:t>
      </w:r>
      <w:r w:rsidRPr="00210024">
        <w:rPr>
          <w:rFonts w:ascii="Times New Roman" w:hAnsi="Times New Roman" w:cs="Times New Roman"/>
          <w:b/>
          <w:bCs/>
        </w:rPr>
        <w:t>)</w:t>
      </w:r>
    </w:p>
    <w:p w:rsidR="008A3152" w:rsidRPr="00210024" w:rsidRDefault="008A3152" w:rsidP="007A7FF4">
      <w:pPr>
        <w:spacing w:after="0"/>
        <w:jc w:val="center"/>
        <w:rPr>
          <w:rFonts w:ascii="Times New Roman" w:hAnsi="Times New Roman" w:cs="Times New Roman"/>
          <w:b/>
          <w:bCs/>
          <w:sz w:val="24"/>
          <w:szCs w:val="24"/>
        </w:rPr>
      </w:pPr>
      <w:r w:rsidRPr="00210024">
        <w:rPr>
          <w:rFonts w:ascii="Times New Roman" w:hAnsi="Times New Roman" w:cs="Times New Roman"/>
          <w:noProof/>
          <w:sz w:val="24"/>
          <w:szCs w:val="24"/>
        </w:rPr>
        <w:drawing>
          <wp:inline distT="0" distB="0" distL="0" distR="0">
            <wp:extent cx="5015972" cy="2536166"/>
            <wp:effectExtent l="19050" t="0" r="13228"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87732" w:rsidRPr="00210024" w:rsidRDefault="008A3152" w:rsidP="007A7FF4">
      <w:pPr>
        <w:spacing w:after="0" w:line="360" w:lineRule="auto"/>
        <w:jc w:val="both"/>
        <w:rPr>
          <w:rFonts w:ascii="Times New Roman" w:hAnsi="Times New Roman" w:cs="Times New Roman"/>
          <w:sz w:val="24"/>
          <w:szCs w:val="24"/>
        </w:rPr>
      </w:pPr>
      <w:r w:rsidRPr="00210024">
        <w:rPr>
          <w:rFonts w:ascii="Times New Roman" w:hAnsi="Times New Roman" w:cs="Times New Roman"/>
          <w:b/>
          <w:bCs/>
          <w:sz w:val="24"/>
          <w:szCs w:val="24"/>
        </w:rPr>
        <w:t xml:space="preserve">Number of </w:t>
      </w:r>
      <w:r w:rsidR="00940DEB">
        <w:rPr>
          <w:rFonts w:ascii="Times New Roman" w:hAnsi="Times New Roman" w:cs="Times New Roman"/>
          <w:b/>
          <w:bCs/>
          <w:sz w:val="24"/>
          <w:szCs w:val="24"/>
        </w:rPr>
        <w:t>employees</w:t>
      </w:r>
      <w:r w:rsidRPr="00210024">
        <w:rPr>
          <w:rFonts w:ascii="Times New Roman" w:hAnsi="Times New Roman" w:cs="Times New Roman"/>
          <w:b/>
          <w:bCs/>
          <w:sz w:val="24"/>
          <w:szCs w:val="24"/>
        </w:rPr>
        <w:t xml:space="preserve"> increased in most of the economic activities in the Palestinian </w:t>
      </w:r>
      <w:r w:rsidR="002C7C30">
        <w:rPr>
          <w:rFonts w:ascii="Times New Roman" w:hAnsi="Times New Roman" w:cs="Times New Roman"/>
          <w:b/>
          <w:bCs/>
          <w:sz w:val="24"/>
          <w:szCs w:val="24"/>
        </w:rPr>
        <w:t>Territory</w:t>
      </w:r>
      <w:r w:rsidRPr="00210024">
        <w:rPr>
          <w:rFonts w:ascii="Times New Roman" w:hAnsi="Times New Roman" w:cs="Times New Roman"/>
          <w:b/>
          <w:bCs/>
          <w:sz w:val="24"/>
          <w:szCs w:val="24"/>
        </w:rPr>
        <w:t xml:space="preserve"> at different rates. Rates were different </w:t>
      </w:r>
      <w:r w:rsidR="009A7D3E" w:rsidRPr="00210024">
        <w:rPr>
          <w:rFonts w:ascii="Times New Roman" w:hAnsi="Times New Roman" w:cs="Times New Roman"/>
          <w:b/>
          <w:bCs/>
          <w:sz w:val="24"/>
          <w:szCs w:val="24"/>
        </w:rPr>
        <w:t xml:space="preserve">between </w:t>
      </w:r>
      <w:r w:rsidRPr="00210024">
        <w:rPr>
          <w:rFonts w:ascii="Times New Roman" w:hAnsi="Times New Roman" w:cs="Times New Roman"/>
          <w:b/>
          <w:bCs/>
          <w:sz w:val="24"/>
          <w:szCs w:val="24"/>
        </w:rPr>
        <w:t>West Bank and Gaza Strip.</w:t>
      </w:r>
      <w:r w:rsidRPr="00210024">
        <w:rPr>
          <w:rFonts w:ascii="Times New Roman" w:hAnsi="Times New Roman" w:cs="Times New Roman"/>
          <w:sz w:val="24"/>
          <w:szCs w:val="24"/>
        </w:rPr>
        <w:t>  Trade, restaurants, hotels recorded the highest rate of growth in the number of employees during 2011 by 18.5% compared with 2010.  Transport, storage, communications, building and construction, agriculture and fishing recorded growth in the number of employees in 2011.</w:t>
      </w:r>
    </w:p>
    <w:p w:rsidR="008A3152" w:rsidRPr="00210024" w:rsidRDefault="008A3152" w:rsidP="003A07FC">
      <w:pPr>
        <w:spacing w:after="0" w:line="360" w:lineRule="auto"/>
        <w:jc w:val="center"/>
        <w:rPr>
          <w:rFonts w:ascii="Times New Roman" w:hAnsi="Times New Roman" w:cs="Times New Roman"/>
          <w:b/>
          <w:bCs/>
          <w:sz w:val="24"/>
          <w:szCs w:val="24"/>
        </w:rPr>
      </w:pPr>
      <w:r w:rsidRPr="00210024">
        <w:rPr>
          <w:rFonts w:ascii="Times New Roman" w:hAnsi="Times New Roman" w:cs="Times New Roman"/>
          <w:b/>
          <w:bCs/>
        </w:rPr>
        <w:t xml:space="preserve">Table 4: Percent change of </w:t>
      </w:r>
      <w:r w:rsidR="00940DEB">
        <w:rPr>
          <w:rFonts w:ascii="Times New Roman" w:hAnsi="Times New Roman" w:cs="Times New Roman"/>
          <w:b/>
          <w:bCs/>
        </w:rPr>
        <w:t>employees</w:t>
      </w:r>
      <w:r w:rsidRPr="00210024">
        <w:rPr>
          <w:rFonts w:ascii="Times New Roman" w:hAnsi="Times New Roman" w:cs="Times New Roman"/>
          <w:b/>
          <w:bCs/>
        </w:rPr>
        <w:t xml:space="preserve"> by economic activity</w:t>
      </w:r>
      <w:r w:rsidR="003A07FC" w:rsidRPr="003A07FC">
        <w:rPr>
          <w:rFonts w:ascii="Times New Roman" w:hAnsi="Times New Roman" w:cs="Times New Roman"/>
          <w:b/>
          <w:bCs/>
        </w:rPr>
        <w:t xml:space="preserve"> </w:t>
      </w:r>
      <w:r w:rsidR="003A07FC" w:rsidRPr="004E405F">
        <w:rPr>
          <w:rFonts w:ascii="Times New Roman" w:hAnsi="Times New Roman" w:cs="Times New Roman"/>
          <w:b/>
          <w:bCs/>
        </w:rPr>
        <w:t>in</w:t>
      </w:r>
      <w:r w:rsidR="003A07FC">
        <w:rPr>
          <w:rFonts w:ascii="Times New Roman" w:hAnsi="Times New Roman" w:cs="Times New Roman"/>
          <w:b/>
          <w:bCs/>
        </w:rPr>
        <w:t xml:space="preserve"> the</w:t>
      </w:r>
      <w:r w:rsidR="003A07FC" w:rsidRPr="004E405F">
        <w:rPr>
          <w:rFonts w:ascii="Times New Roman" w:hAnsi="Times New Roman" w:cs="Times New Roman"/>
          <w:b/>
          <w:bCs/>
        </w:rPr>
        <w:t xml:space="preserve"> Palestinian </w:t>
      </w:r>
      <w:r w:rsidR="003A07FC">
        <w:rPr>
          <w:rFonts w:ascii="Times New Roman" w:hAnsi="Times New Roman" w:cs="Times New Roman"/>
          <w:b/>
          <w:bCs/>
        </w:rPr>
        <w:t>Territory</w:t>
      </w:r>
      <w:r w:rsidRPr="00210024">
        <w:rPr>
          <w:rFonts w:ascii="Times New Roman" w:hAnsi="Times New Roman" w:cs="Times New Roman"/>
          <w:b/>
          <w:bCs/>
        </w:rPr>
        <w:t xml:space="preserve">, </w:t>
      </w:r>
      <w:r w:rsidR="003A07FC">
        <w:rPr>
          <w:rFonts w:ascii="Times New Roman" w:hAnsi="Times New Roman" w:cs="Times New Roman" w:hint="cs"/>
          <w:b/>
          <w:bCs/>
          <w:rtl/>
        </w:rPr>
        <w:t xml:space="preserve">      </w:t>
      </w:r>
      <w:r w:rsidR="003A07FC">
        <w:rPr>
          <w:rFonts w:ascii="Times New Roman" w:hAnsi="Times New Roman" w:cs="Times New Roman"/>
          <w:b/>
          <w:bCs/>
        </w:rPr>
        <w:t>(</w:t>
      </w:r>
      <w:r w:rsidRPr="00210024">
        <w:rPr>
          <w:rFonts w:ascii="Times New Roman" w:hAnsi="Times New Roman" w:cs="Times New Roman"/>
          <w:b/>
          <w:bCs/>
          <w:rtl/>
        </w:rPr>
        <w:t>2010</w:t>
      </w:r>
      <w:r w:rsidRPr="00210024">
        <w:rPr>
          <w:rFonts w:ascii="Times New Roman" w:hAnsi="Times New Roman" w:cs="Times New Roman"/>
          <w:b/>
          <w:bCs/>
        </w:rPr>
        <w:t>-</w:t>
      </w:r>
      <w:r w:rsidRPr="00210024">
        <w:rPr>
          <w:rFonts w:ascii="Times New Roman" w:hAnsi="Times New Roman" w:cs="Times New Roman"/>
          <w:b/>
          <w:bCs/>
          <w:rtl/>
        </w:rPr>
        <w:t>2011</w:t>
      </w:r>
      <w:r w:rsidR="003A07FC">
        <w:rPr>
          <w:rFonts w:ascii="Times New Roman" w:hAnsi="Times New Roman" w:cs="Times New Roman"/>
          <w:b/>
          <w:bCs/>
        </w:rPr>
        <w:t>)</w:t>
      </w:r>
    </w:p>
    <w:tbl>
      <w:tblPr>
        <w:tblW w:w="9000" w:type="dxa"/>
        <w:tblBorders>
          <w:top w:val="single" w:sz="12" w:space="0" w:color="auto"/>
          <w:bottom w:val="single" w:sz="12" w:space="0" w:color="auto"/>
        </w:tblBorders>
        <w:tblLayout w:type="fixed"/>
        <w:tblLook w:val="0000"/>
      </w:tblPr>
      <w:tblGrid>
        <w:gridCol w:w="4471"/>
        <w:gridCol w:w="1134"/>
        <w:gridCol w:w="992"/>
        <w:gridCol w:w="993"/>
        <w:gridCol w:w="708"/>
        <w:gridCol w:w="702"/>
      </w:tblGrid>
      <w:tr w:rsidR="00B87732" w:rsidRPr="00210024" w:rsidTr="00186D70">
        <w:trPr>
          <w:cantSplit/>
          <w:trHeight w:hRule="exact" w:val="284"/>
        </w:trPr>
        <w:tc>
          <w:tcPr>
            <w:tcW w:w="4471" w:type="dxa"/>
            <w:vMerge w:val="restart"/>
            <w:tcBorders>
              <w:top w:val="single" w:sz="12" w:space="0" w:color="auto"/>
              <w:bottom w:val="nil"/>
            </w:tcBorders>
            <w:vAlign w:val="center"/>
          </w:tcPr>
          <w:p w:rsidR="00B87732" w:rsidRPr="00210024" w:rsidRDefault="00B87732" w:rsidP="007A7FF4">
            <w:pPr>
              <w:spacing w:after="0"/>
              <w:rPr>
                <w:rFonts w:ascii="Times New Roman" w:hAnsi="Times New Roman" w:cs="Times New Roman"/>
                <w:b/>
                <w:bCs/>
                <w:sz w:val="18"/>
                <w:szCs w:val="18"/>
              </w:rPr>
            </w:pPr>
            <w:r w:rsidRPr="00210024">
              <w:rPr>
                <w:rFonts w:ascii="Times New Roman" w:hAnsi="Times New Roman" w:cs="Times New Roman"/>
                <w:b/>
                <w:bCs/>
                <w:sz w:val="18"/>
                <w:szCs w:val="18"/>
              </w:rPr>
              <w:t>Economic activity</w:t>
            </w:r>
          </w:p>
        </w:tc>
        <w:tc>
          <w:tcPr>
            <w:tcW w:w="3119" w:type="dxa"/>
            <w:gridSpan w:val="3"/>
            <w:tcBorders>
              <w:top w:val="single" w:sz="12" w:space="0" w:color="auto"/>
              <w:bottom w:val="nil"/>
            </w:tcBorders>
            <w:vAlign w:val="center"/>
          </w:tcPr>
          <w:p w:rsidR="00B87732" w:rsidRPr="00210024" w:rsidRDefault="00B87732" w:rsidP="007A7FF4">
            <w:pPr>
              <w:spacing w:after="0"/>
              <w:rPr>
                <w:rFonts w:ascii="Times New Roman" w:hAnsi="Times New Roman" w:cs="Times New Roman"/>
                <w:b/>
                <w:bCs/>
                <w:sz w:val="18"/>
                <w:szCs w:val="18"/>
              </w:rPr>
            </w:pPr>
            <w:r w:rsidRPr="00210024">
              <w:rPr>
                <w:rFonts w:ascii="Times New Roman" w:hAnsi="Times New Roman" w:cs="Times New Roman"/>
                <w:b/>
                <w:bCs/>
                <w:sz w:val="18"/>
                <w:szCs w:val="18"/>
              </w:rPr>
              <w:t xml:space="preserve">              Palestinian </w:t>
            </w:r>
            <w:r w:rsidR="002C7C30">
              <w:rPr>
                <w:rFonts w:ascii="Times New Roman" w:hAnsi="Times New Roman" w:cs="Times New Roman"/>
                <w:b/>
                <w:bCs/>
                <w:sz w:val="18"/>
                <w:szCs w:val="18"/>
              </w:rPr>
              <w:t>Territory</w:t>
            </w:r>
          </w:p>
        </w:tc>
        <w:tc>
          <w:tcPr>
            <w:tcW w:w="1410" w:type="dxa"/>
            <w:gridSpan w:val="2"/>
            <w:tcBorders>
              <w:top w:val="single" w:sz="12" w:space="0" w:color="auto"/>
              <w:bottom w:val="nil"/>
            </w:tcBorders>
            <w:vAlign w:val="center"/>
          </w:tcPr>
          <w:p w:rsidR="00B87732" w:rsidRPr="00210024" w:rsidRDefault="00B87732" w:rsidP="007A7FF4">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 change</w:t>
            </w:r>
          </w:p>
        </w:tc>
      </w:tr>
      <w:tr w:rsidR="00B87732" w:rsidRPr="00210024" w:rsidTr="00186D70">
        <w:trPr>
          <w:cantSplit/>
          <w:trHeight w:hRule="exact" w:val="772"/>
        </w:trPr>
        <w:tc>
          <w:tcPr>
            <w:tcW w:w="4471" w:type="dxa"/>
            <w:vMerge/>
            <w:tcBorders>
              <w:top w:val="nil"/>
              <w:bottom w:val="single" w:sz="12" w:space="0" w:color="auto"/>
            </w:tcBorders>
            <w:vAlign w:val="center"/>
          </w:tcPr>
          <w:p w:rsidR="00B87732" w:rsidRPr="00210024" w:rsidRDefault="00B87732" w:rsidP="007A7FF4">
            <w:pPr>
              <w:spacing w:after="0"/>
              <w:jc w:val="center"/>
              <w:rPr>
                <w:rFonts w:ascii="Times New Roman" w:hAnsi="Times New Roman" w:cs="Times New Roman"/>
                <w:b/>
                <w:bCs/>
                <w:sz w:val="18"/>
                <w:szCs w:val="18"/>
              </w:rPr>
            </w:pPr>
          </w:p>
        </w:tc>
        <w:tc>
          <w:tcPr>
            <w:tcW w:w="1134" w:type="dxa"/>
            <w:tcBorders>
              <w:top w:val="nil"/>
              <w:bottom w:val="single" w:sz="12" w:space="0" w:color="auto"/>
            </w:tcBorders>
            <w:vAlign w:val="center"/>
          </w:tcPr>
          <w:p w:rsidR="00B87732" w:rsidRPr="00210024" w:rsidRDefault="00B87732" w:rsidP="007A7FF4">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 xml:space="preserve"># of workers </w:t>
            </w:r>
            <w:r w:rsidRPr="00210024">
              <w:rPr>
                <w:rFonts w:ascii="Times New Roman" w:hAnsi="Times New Roman" w:cs="Times New Roman"/>
                <w:b/>
                <w:bCs/>
                <w:sz w:val="18"/>
                <w:szCs w:val="18"/>
                <w:rtl/>
              </w:rPr>
              <w:t>2010</w:t>
            </w:r>
          </w:p>
        </w:tc>
        <w:tc>
          <w:tcPr>
            <w:tcW w:w="992" w:type="dxa"/>
            <w:tcBorders>
              <w:top w:val="nil"/>
              <w:bottom w:val="single" w:sz="12" w:space="0" w:color="auto"/>
            </w:tcBorders>
            <w:vAlign w:val="center"/>
          </w:tcPr>
          <w:p w:rsidR="00B87732" w:rsidRPr="00210024" w:rsidRDefault="00B87732" w:rsidP="007A7FF4">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 xml:space="preserve"># of workers </w:t>
            </w:r>
            <w:r w:rsidRPr="00210024">
              <w:rPr>
                <w:rFonts w:ascii="Times New Roman" w:hAnsi="Times New Roman" w:cs="Times New Roman"/>
                <w:b/>
                <w:bCs/>
                <w:sz w:val="18"/>
                <w:szCs w:val="18"/>
                <w:rtl/>
              </w:rPr>
              <w:t>2011</w:t>
            </w:r>
          </w:p>
        </w:tc>
        <w:tc>
          <w:tcPr>
            <w:tcW w:w="993" w:type="dxa"/>
            <w:tcBorders>
              <w:top w:val="nil"/>
              <w:bottom w:val="single" w:sz="12" w:space="0" w:color="auto"/>
            </w:tcBorders>
            <w:vAlign w:val="center"/>
          </w:tcPr>
          <w:p w:rsidR="00B87732" w:rsidRPr="00210024" w:rsidRDefault="00B87732" w:rsidP="007A7FF4">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 change</w:t>
            </w:r>
          </w:p>
        </w:tc>
        <w:tc>
          <w:tcPr>
            <w:tcW w:w="708" w:type="dxa"/>
            <w:tcBorders>
              <w:top w:val="nil"/>
              <w:bottom w:val="single" w:sz="12" w:space="0" w:color="auto"/>
            </w:tcBorders>
            <w:vAlign w:val="center"/>
          </w:tcPr>
          <w:p w:rsidR="00B87732" w:rsidRPr="00210024" w:rsidRDefault="00B87732" w:rsidP="007A7FF4">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West Bank</w:t>
            </w:r>
          </w:p>
        </w:tc>
        <w:tc>
          <w:tcPr>
            <w:tcW w:w="702" w:type="dxa"/>
            <w:tcBorders>
              <w:top w:val="nil"/>
              <w:bottom w:val="single" w:sz="12" w:space="0" w:color="auto"/>
            </w:tcBorders>
            <w:vAlign w:val="center"/>
          </w:tcPr>
          <w:p w:rsidR="00B87732" w:rsidRPr="00210024" w:rsidRDefault="00B87732" w:rsidP="007A7FF4">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Gaza Strip</w:t>
            </w:r>
          </w:p>
        </w:tc>
      </w:tr>
      <w:tr w:rsidR="00B87732" w:rsidRPr="00210024" w:rsidTr="00186D70">
        <w:trPr>
          <w:trHeight w:hRule="exact" w:val="284"/>
        </w:trPr>
        <w:tc>
          <w:tcPr>
            <w:tcW w:w="4471" w:type="dxa"/>
            <w:tcBorders>
              <w:top w:val="single" w:sz="12" w:space="0" w:color="auto"/>
            </w:tcBorders>
            <w:vAlign w:val="center"/>
          </w:tcPr>
          <w:p w:rsidR="00B87732" w:rsidRPr="00210024" w:rsidRDefault="00B87732" w:rsidP="007A7FF4">
            <w:pPr>
              <w:spacing w:after="0"/>
              <w:rPr>
                <w:rFonts w:ascii="Times New Roman" w:hAnsi="Times New Roman" w:cs="Times New Roman"/>
                <w:snapToGrid w:val="0"/>
                <w:sz w:val="18"/>
                <w:szCs w:val="18"/>
              </w:rPr>
            </w:pPr>
            <w:r w:rsidRPr="00210024">
              <w:rPr>
                <w:rFonts w:ascii="Times New Roman" w:hAnsi="Times New Roman" w:cs="Times New Roman"/>
                <w:snapToGrid w:val="0"/>
                <w:sz w:val="18"/>
                <w:szCs w:val="18"/>
              </w:rPr>
              <w:t>Agriculture and fishing</w:t>
            </w:r>
          </w:p>
        </w:tc>
        <w:tc>
          <w:tcPr>
            <w:tcW w:w="1134" w:type="dxa"/>
            <w:tcBorders>
              <w:top w:val="single" w:sz="12" w:space="0" w:color="auto"/>
            </w:tcBorders>
            <w:vAlign w:val="center"/>
          </w:tcPr>
          <w:p w:rsidR="00B87732" w:rsidRPr="00210024" w:rsidRDefault="00B87732" w:rsidP="007A7FF4">
            <w:pPr>
              <w:spacing w:after="0"/>
              <w:jc w:val="center"/>
              <w:rPr>
                <w:rFonts w:ascii="Times New Roman" w:hAnsi="Times New Roman" w:cs="Times New Roman"/>
                <w:sz w:val="18"/>
                <w:szCs w:val="18"/>
                <w:rtl/>
              </w:rPr>
            </w:pPr>
            <w:r w:rsidRPr="00210024">
              <w:rPr>
                <w:rFonts w:ascii="Times New Roman" w:hAnsi="Times New Roman" w:cs="Times New Roman"/>
                <w:sz w:val="18"/>
                <w:szCs w:val="18"/>
                <w:rtl/>
              </w:rPr>
              <w:t>87</w:t>
            </w:r>
            <w:r w:rsidRPr="00210024">
              <w:rPr>
                <w:rFonts w:ascii="Times New Roman" w:hAnsi="Times New Roman" w:cs="Times New Roman"/>
                <w:sz w:val="18"/>
                <w:szCs w:val="18"/>
              </w:rPr>
              <w:t>,</w:t>
            </w:r>
            <w:r w:rsidRPr="00210024">
              <w:rPr>
                <w:rFonts w:ascii="Times New Roman" w:hAnsi="Times New Roman" w:cs="Times New Roman"/>
                <w:sz w:val="18"/>
                <w:szCs w:val="18"/>
                <w:rtl/>
              </w:rPr>
              <w:t>8</w:t>
            </w:r>
            <w:r w:rsidRPr="00210024">
              <w:rPr>
                <w:rFonts w:ascii="Times New Roman" w:hAnsi="Times New Roman" w:cs="Times New Roman"/>
                <w:sz w:val="18"/>
                <w:szCs w:val="18"/>
              </w:rPr>
              <w:t>00</w:t>
            </w:r>
          </w:p>
        </w:tc>
        <w:tc>
          <w:tcPr>
            <w:tcW w:w="992" w:type="dxa"/>
            <w:tcBorders>
              <w:top w:val="single" w:sz="12" w:space="0" w:color="auto"/>
            </w:tcBorders>
            <w:vAlign w:val="center"/>
          </w:tcPr>
          <w:p w:rsidR="00B87732" w:rsidRPr="00210024" w:rsidRDefault="00B87732" w:rsidP="007A7FF4">
            <w:pPr>
              <w:spacing w:after="0"/>
              <w:jc w:val="center"/>
              <w:rPr>
                <w:rFonts w:ascii="Times New Roman" w:hAnsi="Times New Roman" w:cs="Times New Roman"/>
                <w:sz w:val="18"/>
                <w:szCs w:val="18"/>
                <w:rtl/>
              </w:rPr>
            </w:pPr>
            <w:r w:rsidRPr="00210024">
              <w:rPr>
                <w:rFonts w:ascii="Times New Roman" w:hAnsi="Times New Roman" w:cs="Times New Roman"/>
                <w:sz w:val="18"/>
                <w:szCs w:val="18"/>
              </w:rPr>
              <w:t>99,400</w:t>
            </w:r>
          </w:p>
        </w:tc>
        <w:tc>
          <w:tcPr>
            <w:tcW w:w="993" w:type="dxa"/>
            <w:tcBorders>
              <w:top w:val="single" w:sz="12" w:space="0" w:color="auto"/>
            </w:tcBorders>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13.2</w:t>
            </w:r>
          </w:p>
        </w:tc>
        <w:tc>
          <w:tcPr>
            <w:tcW w:w="708" w:type="dxa"/>
            <w:tcBorders>
              <w:top w:val="single" w:sz="12" w:space="0" w:color="auto"/>
            </w:tcBorders>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4.3</w:t>
            </w:r>
          </w:p>
        </w:tc>
        <w:tc>
          <w:tcPr>
            <w:tcW w:w="702" w:type="dxa"/>
            <w:tcBorders>
              <w:top w:val="single" w:sz="12" w:space="0" w:color="auto"/>
            </w:tcBorders>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57.0</w:t>
            </w:r>
          </w:p>
        </w:tc>
      </w:tr>
      <w:tr w:rsidR="00B87732" w:rsidRPr="00210024" w:rsidTr="00186D70">
        <w:trPr>
          <w:trHeight w:hRule="exact" w:val="284"/>
        </w:trPr>
        <w:tc>
          <w:tcPr>
            <w:tcW w:w="4471" w:type="dxa"/>
            <w:vAlign w:val="center"/>
          </w:tcPr>
          <w:p w:rsidR="00B87732" w:rsidRPr="00210024" w:rsidRDefault="00B87732" w:rsidP="007A7FF4">
            <w:pPr>
              <w:spacing w:after="0"/>
              <w:rPr>
                <w:rFonts w:ascii="Times New Roman" w:hAnsi="Times New Roman" w:cs="Times New Roman"/>
                <w:snapToGrid w:val="0"/>
                <w:sz w:val="18"/>
                <w:szCs w:val="18"/>
              </w:rPr>
            </w:pPr>
            <w:r w:rsidRPr="00210024">
              <w:rPr>
                <w:rFonts w:ascii="Times New Roman" w:hAnsi="Times New Roman" w:cs="Times New Roman"/>
                <w:snapToGrid w:val="0"/>
                <w:sz w:val="18"/>
                <w:szCs w:val="18"/>
              </w:rPr>
              <w:t xml:space="preserve">Mining, manufacturing, </w:t>
            </w:r>
            <w:proofErr w:type="spellStart"/>
            <w:r w:rsidRPr="00210024">
              <w:rPr>
                <w:rFonts w:ascii="Times New Roman" w:hAnsi="Times New Roman" w:cs="Times New Roman"/>
                <w:snapToGrid w:val="0"/>
                <w:sz w:val="18"/>
                <w:szCs w:val="18"/>
              </w:rPr>
              <w:t>electr</w:t>
            </w:r>
            <w:proofErr w:type="spellEnd"/>
            <w:r w:rsidRPr="00210024">
              <w:rPr>
                <w:rFonts w:ascii="Times New Roman" w:hAnsi="Times New Roman" w:cs="Times New Roman"/>
                <w:snapToGrid w:val="0"/>
                <w:sz w:val="18"/>
                <w:szCs w:val="18"/>
              </w:rPr>
              <w:t>. and water</w:t>
            </w:r>
          </w:p>
        </w:tc>
        <w:tc>
          <w:tcPr>
            <w:tcW w:w="1134" w:type="dxa"/>
            <w:vAlign w:val="center"/>
          </w:tcPr>
          <w:p w:rsidR="00B87732" w:rsidRPr="00210024" w:rsidRDefault="00B87732" w:rsidP="007A7FF4">
            <w:pPr>
              <w:spacing w:after="0"/>
              <w:jc w:val="center"/>
              <w:rPr>
                <w:rFonts w:ascii="Times New Roman" w:hAnsi="Times New Roman" w:cs="Times New Roman"/>
                <w:sz w:val="18"/>
                <w:szCs w:val="18"/>
                <w:rtl/>
              </w:rPr>
            </w:pPr>
            <w:r w:rsidRPr="00210024">
              <w:rPr>
                <w:rFonts w:ascii="Times New Roman" w:hAnsi="Times New Roman" w:cs="Times New Roman"/>
                <w:sz w:val="18"/>
                <w:szCs w:val="18"/>
                <w:rtl/>
              </w:rPr>
              <w:t>84</w:t>
            </w:r>
            <w:r w:rsidRPr="00210024">
              <w:rPr>
                <w:rFonts w:ascii="Times New Roman" w:hAnsi="Times New Roman" w:cs="Times New Roman"/>
                <w:sz w:val="18"/>
                <w:szCs w:val="18"/>
              </w:rPr>
              <w:t>,800</w:t>
            </w:r>
          </w:p>
        </w:tc>
        <w:tc>
          <w:tcPr>
            <w:tcW w:w="992"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98,700</w:t>
            </w:r>
          </w:p>
        </w:tc>
        <w:tc>
          <w:tcPr>
            <w:tcW w:w="993"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16.4</w:t>
            </w:r>
          </w:p>
        </w:tc>
        <w:tc>
          <w:tcPr>
            <w:tcW w:w="708"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13.0</w:t>
            </w:r>
          </w:p>
        </w:tc>
        <w:tc>
          <w:tcPr>
            <w:tcW w:w="702"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43.6</w:t>
            </w:r>
          </w:p>
        </w:tc>
      </w:tr>
      <w:tr w:rsidR="00B87732" w:rsidRPr="00210024" w:rsidTr="00186D70">
        <w:trPr>
          <w:trHeight w:hRule="exact" w:val="284"/>
        </w:trPr>
        <w:tc>
          <w:tcPr>
            <w:tcW w:w="4471" w:type="dxa"/>
            <w:vAlign w:val="center"/>
          </w:tcPr>
          <w:p w:rsidR="00B87732" w:rsidRPr="00210024" w:rsidRDefault="00B87732" w:rsidP="007A7FF4">
            <w:pPr>
              <w:spacing w:after="0"/>
              <w:rPr>
                <w:rFonts w:ascii="Times New Roman" w:hAnsi="Times New Roman" w:cs="Times New Roman"/>
                <w:snapToGrid w:val="0"/>
                <w:sz w:val="18"/>
                <w:szCs w:val="18"/>
              </w:rPr>
            </w:pPr>
            <w:r w:rsidRPr="00210024">
              <w:rPr>
                <w:rFonts w:ascii="Times New Roman" w:hAnsi="Times New Roman" w:cs="Times New Roman"/>
                <w:snapToGrid w:val="0"/>
                <w:sz w:val="18"/>
                <w:szCs w:val="18"/>
              </w:rPr>
              <w:t>Construction</w:t>
            </w:r>
          </w:p>
        </w:tc>
        <w:tc>
          <w:tcPr>
            <w:tcW w:w="1134" w:type="dxa"/>
            <w:vAlign w:val="center"/>
          </w:tcPr>
          <w:p w:rsidR="00B87732" w:rsidRPr="00210024" w:rsidRDefault="00B87732" w:rsidP="007A7FF4">
            <w:pPr>
              <w:spacing w:after="0"/>
              <w:jc w:val="center"/>
              <w:rPr>
                <w:rFonts w:ascii="Times New Roman" w:hAnsi="Times New Roman" w:cs="Times New Roman"/>
                <w:sz w:val="18"/>
                <w:szCs w:val="18"/>
                <w:rtl/>
              </w:rPr>
            </w:pPr>
            <w:r w:rsidRPr="00210024">
              <w:rPr>
                <w:rFonts w:ascii="Times New Roman" w:hAnsi="Times New Roman" w:cs="Times New Roman"/>
                <w:sz w:val="18"/>
                <w:szCs w:val="18"/>
                <w:rtl/>
              </w:rPr>
              <w:t>98</w:t>
            </w:r>
            <w:r w:rsidRPr="00210024">
              <w:rPr>
                <w:rFonts w:ascii="Times New Roman" w:hAnsi="Times New Roman" w:cs="Times New Roman"/>
                <w:sz w:val="18"/>
                <w:szCs w:val="18"/>
              </w:rPr>
              <w:t>,200</w:t>
            </w:r>
          </w:p>
        </w:tc>
        <w:tc>
          <w:tcPr>
            <w:tcW w:w="992" w:type="dxa"/>
            <w:vAlign w:val="center"/>
          </w:tcPr>
          <w:p w:rsidR="00B87732" w:rsidRPr="00210024" w:rsidRDefault="00B87732" w:rsidP="007A7FF4">
            <w:pPr>
              <w:spacing w:after="0"/>
              <w:jc w:val="center"/>
              <w:rPr>
                <w:rFonts w:ascii="Times New Roman" w:hAnsi="Times New Roman" w:cs="Times New Roman"/>
                <w:sz w:val="18"/>
                <w:szCs w:val="18"/>
                <w:rtl/>
              </w:rPr>
            </w:pPr>
            <w:r w:rsidRPr="00210024">
              <w:rPr>
                <w:rFonts w:ascii="Times New Roman" w:hAnsi="Times New Roman" w:cs="Times New Roman"/>
                <w:sz w:val="18"/>
                <w:szCs w:val="18"/>
              </w:rPr>
              <w:t>116,200</w:t>
            </w:r>
          </w:p>
        </w:tc>
        <w:tc>
          <w:tcPr>
            <w:tcW w:w="993"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18.3</w:t>
            </w:r>
          </w:p>
        </w:tc>
        <w:tc>
          <w:tcPr>
            <w:tcW w:w="708"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9.9</w:t>
            </w:r>
          </w:p>
        </w:tc>
        <w:tc>
          <w:tcPr>
            <w:tcW w:w="702"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154.4</w:t>
            </w:r>
          </w:p>
        </w:tc>
      </w:tr>
      <w:tr w:rsidR="00B87732" w:rsidRPr="00210024" w:rsidTr="00186D70">
        <w:trPr>
          <w:trHeight w:hRule="exact" w:val="284"/>
        </w:trPr>
        <w:tc>
          <w:tcPr>
            <w:tcW w:w="4471" w:type="dxa"/>
            <w:vAlign w:val="center"/>
          </w:tcPr>
          <w:p w:rsidR="00B87732" w:rsidRPr="00210024" w:rsidRDefault="00B87732" w:rsidP="007A7FF4">
            <w:pPr>
              <w:spacing w:after="0"/>
              <w:rPr>
                <w:rFonts w:ascii="Times New Roman" w:hAnsi="Times New Roman" w:cs="Times New Roman"/>
                <w:snapToGrid w:val="0"/>
                <w:sz w:val="18"/>
                <w:szCs w:val="18"/>
              </w:rPr>
            </w:pPr>
            <w:r w:rsidRPr="00210024">
              <w:rPr>
                <w:rFonts w:ascii="Times New Roman" w:hAnsi="Times New Roman" w:cs="Times New Roman"/>
                <w:snapToGrid w:val="0"/>
                <w:sz w:val="18"/>
                <w:szCs w:val="18"/>
              </w:rPr>
              <w:t>Trade, restaurants and hotels</w:t>
            </w:r>
          </w:p>
        </w:tc>
        <w:tc>
          <w:tcPr>
            <w:tcW w:w="1134" w:type="dxa"/>
            <w:vAlign w:val="center"/>
          </w:tcPr>
          <w:p w:rsidR="00B87732" w:rsidRPr="00210024" w:rsidRDefault="00B87732" w:rsidP="007A7FF4">
            <w:pPr>
              <w:spacing w:after="0"/>
              <w:jc w:val="center"/>
              <w:rPr>
                <w:rFonts w:ascii="Times New Roman" w:hAnsi="Times New Roman" w:cs="Times New Roman"/>
                <w:sz w:val="18"/>
                <w:szCs w:val="18"/>
                <w:rtl/>
              </w:rPr>
            </w:pPr>
            <w:r w:rsidRPr="00210024">
              <w:rPr>
                <w:rFonts w:ascii="Times New Roman" w:hAnsi="Times New Roman" w:cs="Times New Roman"/>
                <w:sz w:val="18"/>
                <w:szCs w:val="18"/>
                <w:rtl/>
              </w:rPr>
              <w:t>143</w:t>
            </w:r>
            <w:r w:rsidRPr="00210024">
              <w:rPr>
                <w:rFonts w:ascii="Times New Roman" w:hAnsi="Times New Roman" w:cs="Times New Roman"/>
                <w:sz w:val="18"/>
                <w:szCs w:val="18"/>
              </w:rPr>
              <w:t>,</w:t>
            </w:r>
            <w:r w:rsidRPr="00210024">
              <w:rPr>
                <w:rFonts w:ascii="Times New Roman" w:hAnsi="Times New Roman" w:cs="Times New Roman"/>
                <w:sz w:val="18"/>
                <w:szCs w:val="18"/>
                <w:rtl/>
              </w:rPr>
              <w:t>5</w:t>
            </w:r>
            <w:r w:rsidRPr="00210024">
              <w:rPr>
                <w:rFonts w:ascii="Times New Roman" w:hAnsi="Times New Roman" w:cs="Times New Roman"/>
                <w:sz w:val="18"/>
                <w:szCs w:val="18"/>
              </w:rPr>
              <w:t>00</w:t>
            </w:r>
          </w:p>
        </w:tc>
        <w:tc>
          <w:tcPr>
            <w:tcW w:w="992" w:type="dxa"/>
            <w:vAlign w:val="center"/>
          </w:tcPr>
          <w:p w:rsidR="00B87732" w:rsidRPr="00210024" w:rsidRDefault="00B87732" w:rsidP="007A7FF4">
            <w:pPr>
              <w:spacing w:after="0"/>
              <w:jc w:val="center"/>
              <w:rPr>
                <w:rFonts w:ascii="Times New Roman" w:hAnsi="Times New Roman" w:cs="Times New Roman"/>
                <w:sz w:val="18"/>
                <w:szCs w:val="18"/>
                <w:rtl/>
              </w:rPr>
            </w:pPr>
            <w:r w:rsidRPr="00210024">
              <w:rPr>
                <w:rFonts w:ascii="Times New Roman" w:hAnsi="Times New Roman" w:cs="Times New Roman"/>
                <w:sz w:val="18"/>
                <w:szCs w:val="18"/>
              </w:rPr>
              <w:t>170,100</w:t>
            </w:r>
          </w:p>
        </w:tc>
        <w:tc>
          <w:tcPr>
            <w:tcW w:w="993"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18.5</w:t>
            </w:r>
          </w:p>
        </w:tc>
        <w:tc>
          <w:tcPr>
            <w:tcW w:w="708"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13.7</w:t>
            </w:r>
          </w:p>
        </w:tc>
        <w:tc>
          <w:tcPr>
            <w:tcW w:w="702"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34.4</w:t>
            </w:r>
          </w:p>
        </w:tc>
      </w:tr>
      <w:tr w:rsidR="00B87732" w:rsidRPr="00210024" w:rsidTr="00186D70">
        <w:trPr>
          <w:trHeight w:hRule="exact" w:val="284"/>
        </w:trPr>
        <w:tc>
          <w:tcPr>
            <w:tcW w:w="4471" w:type="dxa"/>
            <w:vAlign w:val="center"/>
          </w:tcPr>
          <w:p w:rsidR="00B87732" w:rsidRPr="00210024" w:rsidRDefault="00B87732" w:rsidP="007A7FF4">
            <w:pPr>
              <w:spacing w:after="0"/>
              <w:rPr>
                <w:rFonts w:ascii="Times New Roman" w:hAnsi="Times New Roman" w:cs="Times New Roman"/>
                <w:snapToGrid w:val="0"/>
                <w:sz w:val="18"/>
                <w:szCs w:val="18"/>
              </w:rPr>
            </w:pPr>
            <w:r w:rsidRPr="00210024">
              <w:rPr>
                <w:rFonts w:ascii="Times New Roman" w:hAnsi="Times New Roman" w:cs="Times New Roman"/>
                <w:snapToGrid w:val="0"/>
                <w:sz w:val="18"/>
                <w:szCs w:val="18"/>
              </w:rPr>
              <w:t>Transport, Storage and Communications</w:t>
            </w:r>
          </w:p>
        </w:tc>
        <w:tc>
          <w:tcPr>
            <w:tcW w:w="1134" w:type="dxa"/>
            <w:vAlign w:val="center"/>
          </w:tcPr>
          <w:p w:rsidR="00B87732" w:rsidRPr="00210024" w:rsidRDefault="00B87732" w:rsidP="007A7FF4">
            <w:pPr>
              <w:spacing w:after="0"/>
              <w:jc w:val="center"/>
              <w:rPr>
                <w:rFonts w:ascii="Times New Roman" w:hAnsi="Times New Roman" w:cs="Times New Roman"/>
                <w:sz w:val="18"/>
                <w:szCs w:val="18"/>
                <w:rtl/>
              </w:rPr>
            </w:pPr>
            <w:r w:rsidRPr="00210024">
              <w:rPr>
                <w:rFonts w:ascii="Times New Roman" w:hAnsi="Times New Roman" w:cs="Times New Roman"/>
                <w:sz w:val="18"/>
                <w:szCs w:val="18"/>
                <w:rtl/>
              </w:rPr>
              <w:t>44</w:t>
            </w:r>
            <w:r w:rsidRPr="00210024">
              <w:rPr>
                <w:rFonts w:ascii="Times New Roman" w:hAnsi="Times New Roman" w:cs="Times New Roman"/>
                <w:sz w:val="18"/>
                <w:szCs w:val="18"/>
              </w:rPr>
              <w:t>,</w:t>
            </w:r>
            <w:r w:rsidRPr="00210024">
              <w:rPr>
                <w:rFonts w:ascii="Times New Roman" w:hAnsi="Times New Roman" w:cs="Times New Roman"/>
                <w:sz w:val="18"/>
                <w:szCs w:val="18"/>
                <w:rtl/>
              </w:rPr>
              <w:t>4</w:t>
            </w:r>
            <w:r w:rsidRPr="00210024">
              <w:rPr>
                <w:rFonts w:ascii="Times New Roman" w:hAnsi="Times New Roman" w:cs="Times New Roman"/>
                <w:sz w:val="18"/>
                <w:szCs w:val="18"/>
              </w:rPr>
              <w:t>00</w:t>
            </w:r>
          </w:p>
        </w:tc>
        <w:tc>
          <w:tcPr>
            <w:tcW w:w="992" w:type="dxa"/>
            <w:vAlign w:val="center"/>
          </w:tcPr>
          <w:p w:rsidR="00B87732" w:rsidRPr="00210024" w:rsidRDefault="00B87732" w:rsidP="007A7FF4">
            <w:pPr>
              <w:spacing w:after="0"/>
              <w:jc w:val="center"/>
              <w:rPr>
                <w:rFonts w:ascii="Times New Roman" w:hAnsi="Times New Roman" w:cs="Times New Roman"/>
                <w:sz w:val="18"/>
                <w:szCs w:val="18"/>
                <w:rtl/>
              </w:rPr>
            </w:pPr>
            <w:r w:rsidRPr="00210024">
              <w:rPr>
                <w:rFonts w:ascii="Times New Roman" w:hAnsi="Times New Roman" w:cs="Times New Roman"/>
                <w:sz w:val="18"/>
                <w:szCs w:val="18"/>
              </w:rPr>
              <w:t>51,200</w:t>
            </w:r>
          </w:p>
        </w:tc>
        <w:tc>
          <w:tcPr>
            <w:tcW w:w="993"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15.3</w:t>
            </w:r>
          </w:p>
        </w:tc>
        <w:tc>
          <w:tcPr>
            <w:tcW w:w="708"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3.8</w:t>
            </w:r>
          </w:p>
        </w:tc>
        <w:tc>
          <w:tcPr>
            <w:tcW w:w="702"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43.8</w:t>
            </w:r>
          </w:p>
        </w:tc>
      </w:tr>
      <w:tr w:rsidR="00B87732" w:rsidRPr="00210024" w:rsidTr="00186D70">
        <w:trPr>
          <w:trHeight w:hRule="exact" w:val="284"/>
        </w:trPr>
        <w:tc>
          <w:tcPr>
            <w:tcW w:w="4471" w:type="dxa"/>
            <w:vAlign w:val="center"/>
          </w:tcPr>
          <w:p w:rsidR="00B87732" w:rsidRPr="00210024" w:rsidRDefault="00B87732" w:rsidP="007A7FF4">
            <w:pPr>
              <w:spacing w:after="0"/>
              <w:rPr>
                <w:rFonts w:ascii="Times New Roman" w:hAnsi="Times New Roman" w:cs="Times New Roman"/>
                <w:snapToGrid w:val="0"/>
                <w:sz w:val="18"/>
                <w:szCs w:val="18"/>
              </w:rPr>
            </w:pPr>
            <w:r w:rsidRPr="00210024">
              <w:rPr>
                <w:rFonts w:ascii="Times New Roman" w:hAnsi="Times New Roman" w:cs="Times New Roman"/>
                <w:snapToGrid w:val="0"/>
                <w:sz w:val="18"/>
                <w:szCs w:val="18"/>
              </w:rPr>
              <w:t>Services and others</w:t>
            </w:r>
          </w:p>
        </w:tc>
        <w:tc>
          <w:tcPr>
            <w:tcW w:w="1134" w:type="dxa"/>
            <w:vAlign w:val="center"/>
          </w:tcPr>
          <w:p w:rsidR="00B87732" w:rsidRPr="00210024" w:rsidRDefault="00B87732" w:rsidP="007A7FF4">
            <w:pPr>
              <w:spacing w:after="0"/>
              <w:jc w:val="center"/>
              <w:rPr>
                <w:rFonts w:ascii="Times New Roman" w:hAnsi="Times New Roman" w:cs="Times New Roman"/>
                <w:sz w:val="18"/>
                <w:szCs w:val="18"/>
                <w:rtl/>
              </w:rPr>
            </w:pPr>
            <w:r w:rsidRPr="00210024">
              <w:rPr>
                <w:rFonts w:ascii="Times New Roman" w:hAnsi="Times New Roman" w:cs="Times New Roman"/>
                <w:sz w:val="18"/>
                <w:szCs w:val="18"/>
                <w:rtl/>
              </w:rPr>
              <w:t>285</w:t>
            </w:r>
            <w:r w:rsidRPr="00210024">
              <w:rPr>
                <w:rFonts w:ascii="Times New Roman" w:hAnsi="Times New Roman" w:cs="Times New Roman"/>
                <w:sz w:val="18"/>
                <w:szCs w:val="18"/>
              </w:rPr>
              <w:t>,300</w:t>
            </w:r>
          </w:p>
        </w:tc>
        <w:tc>
          <w:tcPr>
            <w:tcW w:w="992" w:type="dxa"/>
            <w:vAlign w:val="center"/>
          </w:tcPr>
          <w:p w:rsidR="00B87732" w:rsidRPr="00210024" w:rsidRDefault="00B87732" w:rsidP="007A7FF4">
            <w:pPr>
              <w:spacing w:after="0"/>
              <w:jc w:val="center"/>
              <w:rPr>
                <w:rFonts w:ascii="Times New Roman" w:hAnsi="Times New Roman" w:cs="Times New Roman"/>
                <w:sz w:val="18"/>
                <w:szCs w:val="18"/>
                <w:rtl/>
              </w:rPr>
            </w:pPr>
            <w:r w:rsidRPr="00210024">
              <w:rPr>
                <w:rFonts w:ascii="Times New Roman" w:hAnsi="Times New Roman" w:cs="Times New Roman"/>
                <w:sz w:val="18"/>
                <w:szCs w:val="18"/>
              </w:rPr>
              <w:t>301,800</w:t>
            </w:r>
          </w:p>
        </w:tc>
        <w:tc>
          <w:tcPr>
            <w:tcW w:w="993"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5.8</w:t>
            </w:r>
          </w:p>
        </w:tc>
        <w:tc>
          <w:tcPr>
            <w:tcW w:w="708"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2.8</w:t>
            </w:r>
          </w:p>
        </w:tc>
        <w:tc>
          <w:tcPr>
            <w:tcW w:w="702" w:type="dxa"/>
            <w:vAlign w:val="center"/>
          </w:tcPr>
          <w:p w:rsidR="00B87732" w:rsidRPr="00210024" w:rsidRDefault="00B87732" w:rsidP="007A7FF4">
            <w:pPr>
              <w:spacing w:after="0"/>
              <w:jc w:val="center"/>
              <w:rPr>
                <w:rFonts w:ascii="Times New Roman" w:hAnsi="Times New Roman" w:cs="Times New Roman"/>
                <w:sz w:val="18"/>
                <w:szCs w:val="18"/>
              </w:rPr>
            </w:pPr>
            <w:r w:rsidRPr="00210024">
              <w:rPr>
                <w:rFonts w:ascii="Times New Roman" w:hAnsi="Times New Roman" w:cs="Times New Roman"/>
                <w:sz w:val="18"/>
                <w:szCs w:val="18"/>
              </w:rPr>
              <w:t>10.1</w:t>
            </w:r>
          </w:p>
        </w:tc>
      </w:tr>
      <w:tr w:rsidR="00B87732" w:rsidRPr="00210024" w:rsidTr="00186D70">
        <w:trPr>
          <w:trHeight w:hRule="exact" w:val="284"/>
        </w:trPr>
        <w:tc>
          <w:tcPr>
            <w:tcW w:w="4471" w:type="dxa"/>
            <w:vAlign w:val="center"/>
          </w:tcPr>
          <w:p w:rsidR="00B87732" w:rsidRPr="00210024" w:rsidRDefault="00B87732" w:rsidP="007A7FF4">
            <w:pPr>
              <w:spacing w:after="0"/>
              <w:rPr>
                <w:rFonts w:ascii="Times New Roman" w:hAnsi="Times New Roman" w:cs="Times New Roman"/>
                <w:b/>
                <w:bCs/>
                <w:snapToGrid w:val="0"/>
                <w:sz w:val="18"/>
                <w:szCs w:val="18"/>
                <w:rtl/>
                <w:lang w:val="en-GB"/>
              </w:rPr>
            </w:pPr>
            <w:r w:rsidRPr="00210024">
              <w:rPr>
                <w:rFonts w:ascii="Times New Roman" w:hAnsi="Times New Roman" w:cs="Times New Roman"/>
                <w:b/>
                <w:bCs/>
                <w:snapToGrid w:val="0"/>
                <w:sz w:val="18"/>
                <w:szCs w:val="18"/>
              </w:rPr>
              <w:t>Total</w:t>
            </w:r>
          </w:p>
        </w:tc>
        <w:tc>
          <w:tcPr>
            <w:tcW w:w="1134" w:type="dxa"/>
            <w:vAlign w:val="center"/>
          </w:tcPr>
          <w:p w:rsidR="00B87732" w:rsidRPr="00210024" w:rsidRDefault="00B87732" w:rsidP="007A7FF4">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tl/>
              </w:rPr>
              <w:t>744</w:t>
            </w:r>
            <w:r w:rsidRPr="00210024">
              <w:rPr>
                <w:rFonts w:ascii="Times New Roman" w:hAnsi="Times New Roman" w:cs="Times New Roman"/>
                <w:b/>
                <w:bCs/>
                <w:sz w:val="18"/>
                <w:szCs w:val="18"/>
              </w:rPr>
              <w:t>,</w:t>
            </w:r>
            <w:r w:rsidRPr="00210024">
              <w:rPr>
                <w:rFonts w:ascii="Times New Roman" w:hAnsi="Times New Roman" w:cs="Times New Roman"/>
                <w:b/>
                <w:bCs/>
                <w:sz w:val="18"/>
                <w:szCs w:val="18"/>
                <w:rtl/>
              </w:rPr>
              <w:t>0</w:t>
            </w:r>
            <w:r w:rsidRPr="00210024">
              <w:rPr>
                <w:rFonts w:ascii="Times New Roman" w:hAnsi="Times New Roman" w:cs="Times New Roman"/>
                <w:b/>
                <w:bCs/>
                <w:sz w:val="18"/>
                <w:szCs w:val="18"/>
              </w:rPr>
              <w:t>00</w:t>
            </w:r>
          </w:p>
        </w:tc>
        <w:tc>
          <w:tcPr>
            <w:tcW w:w="992" w:type="dxa"/>
            <w:vAlign w:val="center"/>
          </w:tcPr>
          <w:p w:rsidR="00B87732" w:rsidRPr="00210024" w:rsidRDefault="00B87732" w:rsidP="007A7FF4">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837,400</w:t>
            </w:r>
          </w:p>
        </w:tc>
        <w:tc>
          <w:tcPr>
            <w:tcW w:w="993" w:type="dxa"/>
            <w:vAlign w:val="center"/>
          </w:tcPr>
          <w:p w:rsidR="00B87732" w:rsidRPr="00210024" w:rsidRDefault="00B87732" w:rsidP="007A7FF4">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12.6</w:t>
            </w:r>
          </w:p>
        </w:tc>
        <w:tc>
          <w:tcPr>
            <w:tcW w:w="708" w:type="dxa"/>
            <w:vAlign w:val="center"/>
          </w:tcPr>
          <w:p w:rsidR="00B87732" w:rsidRPr="00210024" w:rsidRDefault="00B87732" w:rsidP="007A7FF4">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7.8</w:t>
            </w:r>
          </w:p>
        </w:tc>
        <w:tc>
          <w:tcPr>
            <w:tcW w:w="702" w:type="dxa"/>
            <w:vAlign w:val="center"/>
          </w:tcPr>
          <w:p w:rsidR="00B87732" w:rsidRPr="00210024" w:rsidRDefault="00B87732" w:rsidP="007A7FF4">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26.0</w:t>
            </w:r>
          </w:p>
        </w:tc>
      </w:tr>
    </w:tbl>
    <w:p w:rsidR="00B87732" w:rsidRPr="00210024" w:rsidRDefault="00B87732" w:rsidP="007A7FF4">
      <w:pPr>
        <w:spacing w:after="0" w:line="360" w:lineRule="auto"/>
        <w:jc w:val="both"/>
        <w:rPr>
          <w:rFonts w:ascii="Times New Roman" w:hAnsi="Times New Roman" w:cs="Times New Roman"/>
          <w:b/>
          <w:bCs/>
          <w:sz w:val="24"/>
          <w:szCs w:val="24"/>
        </w:rPr>
      </w:pPr>
    </w:p>
    <w:p w:rsidR="00B87732" w:rsidRPr="00210024" w:rsidRDefault="008A3152" w:rsidP="00471C95">
      <w:pPr>
        <w:spacing w:after="0" w:line="360" w:lineRule="auto"/>
        <w:jc w:val="both"/>
        <w:rPr>
          <w:rFonts w:ascii="Times New Roman" w:hAnsi="Times New Roman" w:cs="Times New Roman"/>
          <w:sz w:val="24"/>
          <w:szCs w:val="24"/>
        </w:rPr>
      </w:pPr>
      <w:r w:rsidRPr="00210024">
        <w:rPr>
          <w:rFonts w:ascii="Times New Roman" w:hAnsi="Times New Roman" w:cs="Times New Roman"/>
          <w:b/>
          <w:bCs/>
          <w:sz w:val="24"/>
          <w:szCs w:val="24"/>
        </w:rPr>
        <w:t>In West Bank, trade, restaurants and hotels recorded the highest growth rate during 2011 by 13.7%, followed by mining and manufacturing by 13.0%.  Gaza Strip has witnessed a sharp rise in the construction sector by 154.4% during 2011, followed by the growth of agriculture and fishing by 57.0%, and sectors of "transport,</w:t>
      </w:r>
      <w:r w:rsidR="003A07FC">
        <w:rPr>
          <w:rFonts w:ascii="Times New Roman" w:hAnsi="Times New Roman" w:cs="Times New Roman"/>
          <w:b/>
          <w:bCs/>
          <w:sz w:val="24"/>
          <w:szCs w:val="24"/>
        </w:rPr>
        <w:t xml:space="preserve"> storage and communications" and</w:t>
      </w:r>
      <w:r w:rsidRPr="00210024">
        <w:rPr>
          <w:rFonts w:ascii="Times New Roman" w:hAnsi="Times New Roman" w:cs="Times New Roman"/>
          <w:b/>
          <w:bCs/>
          <w:sz w:val="24"/>
          <w:szCs w:val="24"/>
        </w:rPr>
        <w:t xml:space="preserve"> </w:t>
      </w:r>
      <w:r w:rsidRPr="0053226C">
        <w:rPr>
          <w:rFonts w:ascii="Times New Roman" w:hAnsi="Times New Roman" w:cs="Times New Roman"/>
          <w:b/>
          <w:bCs/>
          <w:sz w:val="24"/>
          <w:szCs w:val="24"/>
        </w:rPr>
        <w:t>"</w:t>
      </w:r>
      <w:r w:rsidR="0053226C" w:rsidRPr="0053226C">
        <w:rPr>
          <w:rFonts w:ascii="Times New Roman" w:hAnsi="Times New Roman" w:cs="Times New Roman"/>
          <w:b/>
          <w:bCs/>
          <w:snapToGrid w:val="0"/>
          <w:sz w:val="24"/>
          <w:szCs w:val="24"/>
        </w:rPr>
        <w:t>Mining</w:t>
      </w:r>
      <w:r w:rsidR="0053226C">
        <w:rPr>
          <w:rFonts w:ascii="Times New Roman" w:hAnsi="Times New Roman" w:cs="Times New Roman"/>
          <w:b/>
          <w:bCs/>
          <w:snapToGrid w:val="0"/>
          <w:sz w:val="24"/>
          <w:szCs w:val="24"/>
        </w:rPr>
        <w:t xml:space="preserve"> and</w:t>
      </w:r>
      <w:r w:rsidR="0053226C" w:rsidRPr="0053226C">
        <w:rPr>
          <w:rFonts w:ascii="Times New Roman" w:hAnsi="Times New Roman" w:cs="Times New Roman"/>
          <w:b/>
          <w:bCs/>
          <w:snapToGrid w:val="0"/>
          <w:sz w:val="24"/>
          <w:szCs w:val="24"/>
        </w:rPr>
        <w:t xml:space="preserve"> manufacturing</w:t>
      </w:r>
      <w:r w:rsidRPr="00210024">
        <w:rPr>
          <w:rFonts w:ascii="Times New Roman" w:hAnsi="Times New Roman" w:cs="Times New Roman"/>
          <w:b/>
          <w:bCs/>
          <w:sz w:val="24"/>
          <w:szCs w:val="24"/>
        </w:rPr>
        <w:t>" by 43.8% and 43.6%, respectively.</w:t>
      </w:r>
      <w:r w:rsidRPr="00210024">
        <w:rPr>
          <w:rFonts w:ascii="Times New Roman" w:hAnsi="Times New Roman" w:cs="Times New Roman"/>
          <w:sz w:val="24"/>
          <w:szCs w:val="24"/>
        </w:rPr>
        <w:t xml:space="preserve"> The rest of the economic activities in West Bank and Gaza Strip has recorded </w:t>
      </w:r>
      <w:r w:rsidRPr="00210024">
        <w:rPr>
          <w:rFonts w:ascii="Times New Roman" w:hAnsi="Times New Roman" w:cs="Times New Roman"/>
          <w:sz w:val="24"/>
          <w:szCs w:val="24"/>
        </w:rPr>
        <w:lastRenderedPageBreak/>
        <w:t xml:space="preserve">increase in the numbers of employees, but with less rates. Such sharp increase in the number of </w:t>
      </w:r>
      <w:r w:rsidR="00940DEB">
        <w:rPr>
          <w:rFonts w:ascii="Times New Roman" w:hAnsi="Times New Roman" w:cs="Times New Roman"/>
          <w:sz w:val="24"/>
          <w:szCs w:val="24"/>
        </w:rPr>
        <w:t>employees</w:t>
      </w:r>
      <w:r w:rsidRPr="00210024">
        <w:rPr>
          <w:rFonts w:ascii="Times New Roman" w:hAnsi="Times New Roman" w:cs="Times New Roman"/>
          <w:sz w:val="24"/>
          <w:szCs w:val="24"/>
        </w:rPr>
        <w:t xml:space="preserve"> in the construction sector in the Gaza Strip during 2009 is related to the severe blockade on border crossings to prevent all economic transactions to and from the Gaza Strip where no cement was imported to Gaza in 2009 where building activity is almost stopped during that year. The blockade on Gaza continued in 2011, but less severe as in 2009 and 2010 in terms of opening and closing the crossings which led to the increase in the construction activities and numbers of </w:t>
      </w:r>
      <w:r w:rsidR="00940DEB">
        <w:rPr>
          <w:rFonts w:ascii="Times New Roman" w:hAnsi="Times New Roman" w:cs="Times New Roman"/>
          <w:sz w:val="24"/>
          <w:szCs w:val="24"/>
        </w:rPr>
        <w:t>employees</w:t>
      </w:r>
      <w:r w:rsidRPr="00210024">
        <w:rPr>
          <w:rFonts w:ascii="Times New Roman" w:hAnsi="Times New Roman" w:cs="Times New Roman"/>
          <w:sz w:val="24"/>
          <w:szCs w:val="24"/>
        </w:rPr>
        <w:t xml:space="preserve"> in 2011 to a level close to what it was before the blockade.</w:t>
      </w:r>
    </w:p>
    <w:p w:rsidR="007A7FF4" w:rsidRPr="00210024" w:rsidRDefault="008A3152" w:rsidP="00030E2F">
      <w:pPr>
        <w:spacing w:after="0" w:line="360" w:lineRule="auto"/>
        <w:jc w:val="both"/>
        <w:rPr>
          <w:rFonts w:ascii="Times New Roman" w:hAnsi="Times New Roman" w:cs="Times New Roman"/>
          <w:sz w:val="24"/>
          <w:szCs w:val="24"/>
        </w:rPr>
      </w:pPr>
      <w:r w:rsidRPr="00210024">
        <w:rPr>
          <w:rFonts w:ascii="Times New Roman" w:hAnsi="Times New Roman" w:cs="Times New Roman"/>
          <w:sz w:val="24"/>
          <w:szCs w:val="24"/>
        </w:rPr>
        <w:br/>
      </w:r>
      <w:r w:rsidRPr="00210024">
        <w:rPr>
          <w:rFonts w:ascii="Times New Roman" w:hAnsi="Times New Roman" w:cs="Times New Roman"/>
          <w:b/>
          <w:bCs/>
          <w:sz w:val="24"/>
          <w:szCs w:val="24"/>
        </w:rPr>
        <w:t xml:space="preserve">In terms of the relative distribution of the number of </w:t>
      </w:r>
      <w:r w:rsidR="00940DEB">
        <w:rPr>
          <w:rFonts w:ascii="Times New Roman" w:hAnsi="Times New Roman" w:cs="Times New Roman"/>
          <w:b/>
          <w:bCs/>
          <w:sz w:val="24"/>
          <w:szCs w:val="24"/>
        </w:rPr>
        <w:t>employees</w:t>
      </w:r>
      <w:r w:rsidRPr="00210024">
        <w:rPr>
          <w:rFonts w:ascii="Times New Roman" w:hAnsi="Times New Roman" w:cs="Times New Roman"/>
          <w:b/>
          <w:bCs/>
          <w:sz w:val="24"/>
          <w:szCs w:val="24"/>
        </w:rPr>
        <w:t xml:space="preserve"> by economic activity, </w:t>
      </w:r>
      <w:r w:rsidR="00940DEB">
        <w:rPr>
          <w:rFonts w:ascii="Times New Roman" w:hAnsi="Times New Roman" w:cs="Times New Roman"/>
          <w:b/>
          <w:bCs/>
          <w:sz w:val="24"/>
          <w:szCs w:val="24"/>
        </w:rPr>
        <w:t>employees</w:t>
      </w:r>
      <w:r w:rsidRPr="00210024">
        <w:rPr>
          <w:rFonts w:ascii="Times New Roman" w:hAnsi="Times New Roman" w:cs="Times New Roman"/>
          <w:b/>
          <w:bCs/>
          <w:sz w:val="24"/>
          <w:szCs w:val="24"/>
        </w:rPr>
        <w:t xml:space="preserve"> in the Palestinian </w:t>
      </w:r>
      <w:r w:rsidR="002C7C30">
        <w:rPr>
          <w:rFonts w:ascii="Times New Roman" w:hAnsi="Times New Roman" w:cs="Times New Roman"/>
          <w:b/>
          <w:bCs/>
          <w:sz w:val="24"/>
          <w:szCs w:val="24"/>
        </w:rPr>
        <w:t>Territory</w:t>
      </w:r>
      <w:r w:rsidRPr="00210024">
        <w:rPr>
          <w:rFonts w:ascii="Times New Roman" w:hAnsi="Times New Roman" w:cs="Times New Roman"/>
          <w:b/>
          <w:bCs/>
          <w:sz w:val="24"/>
          <w:szCs w:val="24"/>
        </w:rPr>
        <w:t xml:space="preserve"> were largely concentrated in the services sector in 2011, where the percentage of </w:t>
      </w:r>
      <w:r w:rsidR="00940DEB">
        <w:rPr>
          <w:rFonts w:ascii="Times New Roman" w:hAnsi="Times New Roman" w:cs="Times New Roman"/>
          <w:b/>
          <w:bCs/>
          <w:sz w:val="24"/>
          <w:szCs w:val="24"/>
        </w:rPr>
        <w:t>employees</w:t>
      </w:r>
      <w:r w:rsidRPr="00210024">
        <w:rPr>
          <w:rFonts w:ascii="Times New Roman" w:hAnsi="Times New Roman" w:cs="Times New Roman"/>
          <w:b/>
          <w:bCs/>
          <w:sz w:val="24"/>
          <w:szCs w:val="24"/>
        </w:rPr>
        <w:t xml:space="preserve"> in this activity reached 36.0%, followed by </w:t>
      </w:r>
      <w:r w:rsidR="00940DEB">
        <w:rPr>
          <w:rFonts w:ascii="Times New Roman" w:hAnsi="Times New Roman" w:cs="Times New Roman"/>
          <w:b/>
          <w:bCs/>
          <w:sz w:val="24"/>
          <w:szCs w:val="24"/>
        </w:rPr>
        <w:t>employees</w:t>
      </w:r>
      <w:r w:rsidRPr="00210024">
        <w:rPr>
          <w:rFonts w:ascii="Times New Roman" w:hAnsi="Times New Roman" w:cs="Times New Roman"/>
          <w:b/>
          <w:bCs/>
          <w:sz w:val="24"/>
          <w:szCs w:val="24"/>
        </w:rPr>
        <w:t xml:space="preserve"> in trade, restaurants and hotels (20.3%) and construction (13.9%). </w:t>
      </w:r>
      <w:r w:rsidRPr="00210024">
        <w:rPr>
          <w:rFonts w:ascii="Times New Roman" w:hAnsi="Times New Roman" w:cs="Times New Roman"/>
          <w:sz w:val="24"/>
          <w:szCs w:val="24"/>
        </w:rPr>
        <w:t xml:space="preserve"> Percentage of </w:t>
      </w:r>
      <w:r w:rsidR="00940DEB">
        <w:rPr>
          <w:rFonts w:ascii="Times New Roman" w:hAnsi="Times New Roman" w:cs="Times New Roman"/>
          <w:sz w:val="24"/>
          <w:szCs w:val="24"/>
        </w:rPr>
        <w:t>employees</w:t>
      </w:r>
      <w:r w:rsidR="009848BE" w:rsidRPr="00210024">
        <w:rPr>
          <w:rFonts w:ascii="Times New Roman" w:hAnsi="Times New Roman" w:cs="Times New Roman"/>
          <w:sz w:val="24"/>
          <w:szCs w:val="24"/>
        </w:rPr>
        <w:t xml:space="preserve"> </w:t>
      </w:r>
      <w:r w:rsidRPr="00210024">
        <w:rPr>
          <w:rFonts w:ascii="Times New Roman" w:hAnsi="Times New Roman" w:cs="Times New Roman"/>
          <w:sz w:val="24"/>
          <w:szCs w:val="24"/>
        </w:rPr>
        <w:t xml:space="preserve">is clearly varied in these sectors between the West Bank and Gaza Strip. As it appears in Figures 8 and 9, the percentage of </w:t>
      </w:r>
      <w:r w:rsidR="00940DEB">
        <w:rPr>
          <w:rFonts w:ascii="Times New Roman" w:hAnsi="Times New Roman" w:cs="Times New Roman"/>
          <w:sz w:val="24"/>
          <w:szCs w:val="24"/>
        </w:rPr>
        <w:t>employees</w:t>
      </w:r>
      <w:r w:rsidRPr="00210024">
        <w:rPr>
          <w:rFonts w:ascii="Times New Roman" w:hAnsi="Times New Roman" w:cs="Times New Roman"/>
          <w:sz w:val="24"/>
          <w:szCs w:val="24"/>
        </w:rPr>
        <w:t xml:space="preserve"> in the services sector in West Bank reached 29% compared with 53% in Gaza Strip; while the percentage of </w:t>
      </w:r>
      <w:r w:rsidR="00940DEB">
        <w:rPr>
          <w:rFonts w:ascii="Times New Roman" w:hAnsi="Times New Roman" w:cs="Times New Roman"/>
          <w:sz w:val="24"/>
          <w:szCs w:val="24"/>
        </w:rPr>
        <w:t>employees</w:t>
      </w:r>
      <w:r w:rsidRPr="00210024">
        <w:rPr>
          <w:rFonts w:ascii="Times New Roman" w:hAnsi="Times New Roman" w:cs="Times New Roman"/>
          <w:sz w:val="24"/>
          <w:szCs w:val="24"/>
        </w:rPr>
        <w:t xml:space="preserve"> in industry reached 14% in West Bank and 5% in Gaza Strip. Percentage of </w:t>
      </w:r>
      <w:r w:rsidR="00940DEB">
        <w:rPr>
          <w:rFonts w:ascii="Times New Roman" w:hAnsi="Times New Roman" w:cs="Times New Roman"/>
          <w:sz w:val="24"/>
          <w:szCs w:val="24"/>
        </w:rPr>
        <w:t>employees</w:t>
      </w:r>
      <w:r w:rsidRPr="00210024">
        <w:rPr>
          <w:rFonts w:ascii="Times New Roman" w:hAnsi="Times New Roman" w:cs="Times New Roman"/>
          <w:sz w:val="24"/>
          <w:szCs w:val="24"/>
        </w:rPr>
        <w:t xml:space="preserve"> in construction reached 17% in West Bank compared with 6% in Gaza Strip.</w:t>
      </w:r>
    </w:p>
    <w:p w:rsidR="00B87732" w:rsidRPr="00210024" w:rsidRDefault="008A3152" w:rsidP="007A7FF4">
      <w:pPr>
        <w:spacing w:after="0" w:line="360" w:lineRule="auto"/>
        <w:jc w:val="both"/>
        <w:rPr>
          <w:rFonts w:ascii="Times New Roman" w:hAnsi="Times New Roman" w:cs="Times New Roman"/>
          <w:sz w:val="24"/>
          <w:szCs w:val="24"/>
        </w:rPr>
      </w:pPr>
      <w:r w:rsidRPr="00210024">
        <w:rPr>
          <w:rFonts w:ascii="Times New Roman" w:hAnsi="Times New Roman" w:cs="Times New Roman"/>
          <w:sz w:val="24"/>
          <w:szCs w:val="24"/>
        </w:rPr>
        <w:br/>
      </w:r>
    </w:p>
    <w:tbl>
      <w:tblPr>
        <w:bidiVisual/>
        <w:tblW w:w="10889" w:type="dxa"/>
        <w:jc w:val="center"/>
        <w:tblInd w:w="-1170" w:type="dxa"/>
        <w:tblLook w:val="0000"/>
      </w:tblPr>
      <w:tblGrid>
        <w:gridCol w:w="5346"/>
        <w:gridCol w:w="5543"/>
      </w:tblGrid>
      <w:tr w:rsidR="00B87732" w:rsidRPr="00210024" w:rsidTr="00BF69B2">
        <w:trPr>
          <w:trHeight w:val="2925"/>
          <w:jc w:val="center"/>
        </w:trPr>
        <w:tc>
          <w:tcPr>
            <w:tcW w:w="5278" w:type="dxa"/>
          </w:tcPr>
          <w:p w:rsidR="00B87732" w:rsidRPr="00210024" w:rsidRDefault="00B87732" w:rsidP="00DA653C">
            <w:pPr>
              <w:spacing w:after="0"/>
              <w:ind w:left="317"/>
              <w:jc w:val="center"/>
              <w:rPr>
                <w:rFonts w:ascii="Times New Roman" w:hAnsi="Times New Roman" w:cs="Times New Roman"/>
                <w:b/>
                <w:bCs/>
                <w:rtl/>
                <w:lang w:val="en-GB"/>
              </w:rPr>
            </w:pPr>
            <w:r w:rsidRPr="00210024">
              <w:rPr>
                <w:rFonts w:ascii="Times New Roman" w:hAnsi="Times New Roman" w:cs="Times New Roman"/>
                <w:b/>
                <w:bCs/>
              </w:rPr>
              <w:t xml:space="preserve">Figure </w:t>
            </w:r>
            <w:r w:rsidR="00DA653C">
              <w:rPr>
                <w:rFonts w:ascii="Times New Roman" w:hAnsi="Times New Roman" w:cs="Times New Roman"/>
                <w:b/>
                <w:bCs/>
              </w:rPr>
              <w:t>9</w:t>
            </w:r>
            <w:r w:rsidRPr="00210024">
              <w:rPr>
                <w:rFonts w:ascii="Times New Roman" w:hAnsi="Times New Roman" w:cs="Times New Roman"/>
                <w:b/>
                <w:bCs/>
              </w:rPr>
              <w:t>:</w:t>
            </w:r>
            <w:r w:rsidR="00A8477B">
              <w:rPr>
                <w:rFonts w:ascii="Times New Roman" w:hAnsi="Times New Roman" w:cs="Times New Roman"/>
                <w:b/>
                <w:bCs/>
              </w:rPr>
              <w:t xml:space="preserve"> </w:t>
            </w:r>
            <w:r w:rsidRPr="00210024">
              <w:rPr>
                <w:rFonts w:ascii="Times New Roman" w:hAnsi="Times New Roman" w:cs="Times New Roman"/>
                <w:b/>
                <w:bCs/>
              </w:rPr>
              <w:t>Percentage distribution of Employees in the West Bank by economic activity, 2011</w:t>
            </w:r>
          </w:p>
          <w:p w:rsidR="00B87732" w:rsidRPr="00210024" w:rsidRDefault="00B87732" w:rsidP="007A7FF4">
            <w:pPr>
              <w:spacing w:after="0"/>
              <w:jc w:val="center"/>
              <w:rPr>
                <w:rFonts w:ascii="Times New Roman" w:hAnsi="Times New Roman" w:cs="Times New Roman"/>
                <w:b/>
                <w:bCs/>
                <w:rtl/>
              </w:rPr>
            </w:pPr>
            <w:r w:rsidRPr="00210024">
              <w:rPr>
                <w:rFonts w:ascii="Times New Roman" w:hAnsi="Times New Roman" w:cs="Times New Roman"/>
                <w:noProof/>
              </w:rPr>
              <w:drawing>
                <wp:inline distT="0" distB="0" distL="0" distR="0">
                  <wp:extent cx="3225380" cy="2204442"/>
                  <wp:effectExtent l="19050" t="0" r="13120" b="5358"/>
                  <wp:docPr id="13"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5611" w:type="dxa"/>
            <w:vAlign w:val="center"/>
          </w:tcPr>
          <w:p w:rsidR="00B87732" w:rsidRPr="00210024" w:rsidRDefault="00B87732" w:rsidP="00DA653C">
            <w:pPr>
              <w:pStyle w:val="xl69"/>
              <w:bidi/>
              <w:spacing w:before="0" w:beforeAutospacing="0" w:after="0" w:afterAutospacing="0" w:line="276" w:lineRule="auto"/>
              <w:ind w:right="649"/>
              <w:textAlignment w:val="auto"/>
              <w:rPr>
                <w:rFonts w:eastAsia="Calibri" w:cs="Times New Roman" w:hint="default"/>
                <w:rtl/>
              </w:rPr>
            </w:pPr>
            <w:r w:rsidRPr="00210024">
              <w:rPr>
                <w:rFonts w:eastAsia="Calibri" w:cs="Times New Roman" w:hint="default"/>
              </w:rPr>
              <w:t xml:space="preserve">Figure </w:t>
            </w:r>
            <w:r w:rsidR="00DA653C">
              <w:rPr>
                <w:rFonts w:eastAsia="Calibri" w:cs="Times New Roman" w:hint="default"/>
              </w:rPr>
              <w:t>8</w:t>
            </w:r>
            <w:r w:rsidRPr="00210024">
              <w:rPr>
                <w:rFonts w:eastAsia="Calibri" w:cs="Times New Roman" w:hint="default"/>
              </w:rPr>
              <w:t>:</w:t>
            </w:r>
            <w:r w:rsidR="00A8477B">
              <w:rPr>
                <w:rFonts w:eastAsia="Calibri" w:cs="Times New Roman" w:hint="default"/>
              </w:rPr>
              <w:t xml:space="preserve"> </w:t>
            </w:r>
            <w:r w:rsidRPr="00210024">
              <w:rPr>
                <w:rFonts w:eastAsia="Calibri" w:cs="Times New Roman" w:hint="default"/>
              </w:rPr>
              <w:t>Percentage distribution of Employees in Gaza Strip by economic activity, 2011</w:t>
            </w:r>
          </w:p>
          <w:p w:rsidR="00B87732" w:rsidRPr="00210024" w:rsidRDefault="00B87732" w:rsidP="00030E2F">
            <w:pPr>
              <w:spacing w:after="0"/>
              <w:jc w:val="center"/>
              <w:rPr>
                <w:rFonts w:ascii="Times New Roman" w:hAnsi="Times New Roman" w:cs="Times New Roman"/>
                <w:b/>
                <w:bCs/>
                <w:rtl/>
              </w:rPr>
            </w:pPr>
            <w:r w:rsidRPr="00210024">
              <w:rPr>
                <w:rFonts w:ascii="Times New Roman" w:hAnsi="Times New Roman" w:cs="Times New Roman"/>
                <w:noProof/>
              </w:rPr>
              <w:drawing>
                <wp:inline distT="0" distB="0" distL="0" distR="0">
                  <wp:extent cx="3181350" cy="2251494"/>
                  <wp:effectExtent l="19050" t="0" r="19050" b="0"/>
                  <wp:docPr id="14"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B87732" w:rsidRPr="00210024" w:rsidRDefault="00B87732" w:rsidP="007A7FF4">
      <w:pPr>
        <w:spacing w:after="0" w:line="360" w:lineRule="auto"/>
        <w:jc w:val="both"/>
        <w:rPr>
          <w:rFonts w:ascii="Times New Roman" w:hAnsi="Times New Roman" w:cs="Times New Roman"/>
          <w:sz w:val="24"/>
          <w:szCs w:val="24"/>
        </w:rPr>
      </w:pPr>
    </w:p>
    <w:p w:rsidR="00020161" w:rsidRDefault="00020161" w:rsidP="007A7FF4">
      <w:pPr>
        <w:spacing w:after="0"/>
        <w:jc w:val="both"/>
        <w:rPr>
          <w:rFonts w:ascii="Times New Roman" w:hAnsi="Times New Roman" w:cs="Times New Roman"/>
          <w:sz w:val="24"/>
          <w:szCs w:val="24"/>
        </w:rPr>
      </w:pPr>
    </w:p>
    <w:p w:rsidR="00020161" w:rsidRDefault="00020161" w:rsidP="007A7FF4">
      <w:pPr>
        <w:spacing w:after="0"/>
        <w:jc w:val="both"/>
        <w:rPr>
          <w:rFonts w:ascii="Times New Roman" w:hAnsi="Times New Roman" w:cs="Times New Roman"/>
          <w:sz w:val="24"/>
          <w:szCs w:val="24"/>
        </w:rPr>
      </w:pPr>
    </w:p>
    <w:p w:rsidR="00B359AF" w:rsidRDefault="00B359AF" w:rsidP="007A7FF4">
      <w:pPr>
        <w:spacing w:after="0"/>
        <w:jc w:val="both"/>
        <w:rPr>
          <w:rFonts w:ascii="Times New Roman" w:hAnsi="Times New Roman" w:cs="Times New Roman"/>
          <w:sz w:val="24"/>
          <w:szCs w:val="24"/>
        </w:rPr>
      </w:pPr>
    </w:p>
    <w:p w:rsidR="007A7FF4" w:rsidRPr="00B359AF" w:rsidRDefault="00590325" w:rsidP="007A7FF4">
      <w:pPr>
        <w:spacing w:after="0"/>
        <w:jc w:val="both"/>
        <w:rPr>
          <w:rFonts w:ascii="Times New Roman" w:hAnsi="Times New Roman" w:cs="Times New Roman"/>
          <w:b/>
          <w:bCs/>
          <w:sz w:val="24"/>
          <w:szCs w:val="24"/>
        </w:rPr>
      </w:pPr>
      <w:r w:rsidRPr="00B359AF">
        <w:rPr>
          <w:rFonts w:ascii="Times New Roman" w:hAnsi="Times New Roman" w:cs="Times New Roman"/>
          <w:b/>
          <w:bCs/>
          <w:sz w:val="24"/>
          <w:szCs w:val="24"/>
        </w:rPr>
        <w:lastRenderedPageBreak/>
        <w:t>3</w:t>
      </w:r>
      <w:r w:rsidR="007A7FF4" w:rsidRPr="00B359AF">
        <w:rPr>
          <w:rFonts w:ascii="Times New Roman" w:hAnsi="Times New Roman" w:cs="Times New Roman"/>
          <w:b/>
          <w:bCs/>
          <w:sz w:val="24"/>
          <w:szCs w:val="24"/>
        </w:rPr>
        <w:t>-Prices and purchasing power:</w:t>
      </w:r>
    </w:p>
    <w:p w:rsidR="007A7FF4" w:rsidRPr="00E2628E" w:rsidRDefault="007A7FF4" w:rsidP="00030E2F">
      <w:pPr>
        <w:spacing w:after="0"/>
        <w:jc w:val="both"/>
        <w:rPr>
          <w:rFonts w:ascii="Times New Roman" w:hAnsi="Times New Roman" w:cs="Times New Roman"/>
          <w:sz w:val="24"/>
          <w:szCs w:val="24"/>
        </w:rPr>
      </w:pPr>
      <w:r w:rsidRPr="00210024">
        <w:rPr>
          <w:rFonts w:ascii="Times New Roman" w:hAnsi="Times New Roman" w:cs="Times New Roman"/>
        </w:rPr>
        <w:br/>
      </w:r>
      <w:r w:rsidRPr="00E2628E">
        <w:rPr>
          <w:rFonts w:ascii="Times New Roman" w:hAnsi="Times New Roman" w:cs="Times New Roman"/>
          <w:b/>
          <w:bCs/>
          <w:sz w:val="24"/>
          <w:szCs w:val="24"/>
        </w:rPr>
        <w:t>Consumer’s price index (</w:t>
      </w:r>
      <w:r w:rsidR="00030E2F" w:rsidRPr="00E2628E">
        <w:rPr>
          <w:rFonts w:ascii="Times New Roman" w:hAnsi="Times New Roman" w:cs="Times New Roman"/>
          <w:b/>
          <w:bCs/>
          <w:sz w:val="24"/>
          <w:szCs w:val="24"/>
        </w:rPr>
        <w:t>CPI</w:t>
      </w:r>
      <w:r w:rsidRPr="00E2628E">
        <w:rPr>
          <w:rFonts w:ascii="Times New Roman" w:hAnsi="Times New Roman" w:cs="Times New Roman"/>
          <w:b/>
          <w:bCs/>
          <w:sz w:val="24"/>
          <w:szCs w:val="24"/>
        </w:rPr>
        <w:t xml:space="preserve">) increased in Palestinian </w:t>
      </w:r>
      <w:r w:rsidR="002C7C30">
        <w:rPr>
          <w:rFonts w:ascii="Times New Roman" w:hAnsi="Times New Roman" w:cs="Times New Roman"/>
          <w:b/>
          <w:bCs/>
          <w:sz w:val="24"/>
          <w:szCs w:val="24"/>
        </w:rPr>
        <w:t>Territory</w:t>
      </w:r>
      <w:r w:rsidRPr="00E2628E">
        <w:rPr>
          <w:rFonts w:ascii="Times New Roman" w:hAnsi="Times New Roman" w:cs="Times New Roman"/>
          <w:b/>
          <w:bCs/>
          <w:sz w:val="24"/>
          <w:szCs w:val="24"/>
        </w:rPr>
        <w:t xml:space="preserve"> during the year of 2011 by 2.88% and   reached  132.7 compared to 129.0 during the year of 2010 (base year 2004).</w:t>
      </w:r>
      <w:r w:rsidRPr="00E2628E">
        <w:rPr>
          <w:rFonts w:ascii="Times New Roman" w:hAnsi="Times New Roman" w:cs="Times New Roman"/>
          <w:sz w:val="24"/>
          <w:szCs w:val="24"/>
        </w:rPr>
        <w:t xml:space="preserve"> The change in prices is considered one of important indicators that affect the purchasing power of individuals. The high cost of living in 2011 is mainly due to increase in prices of all major groups except for set of furniture and household wares &amp; goods. As a range of alcoholic beverages and tobacco witnessed an increase in prices by 6.22%, followed by services, restaurants, cafes and hotels  which increased by 5.89%,  a range of transport and communications by 4.78%, a range of fabrics and clothing and footwear by 4.60%, and food stuff increased by 2.40%.</w:t>
      </w:r>
    </w:p>
    <w:p w:rsidR="007A7FF4" w:rsidRPr="00210024" w:rsidRDefault="007A7FF4" w:rsidP="00D82D74">
      <w:pPr>
        <w:spacing w:after="0"/>
        <w:jc w:val="center"/>
        <w:rPr>
          <w:rFonts w:ascii="Times New Roman" w:hAnsi="Times New Roman" w:cs="Times New Roman"/>
          <w:b/>
          <w:bCs/>
        </w:rPr>
      </w:pPr>
      <w:r w:rsidRPr="00E2628E">
        <w:rPr>
          <w:rFonts w:ascii="Times New Roman" w:hAnsi="Times New Roman" w:cs="Times New Roman"/>
          <w:sz w:val="24"/>
          <w:szCs w:val="24"/>
        </w:rPr>
        <w:br/>
      </w:r>
      <w:r w:rsidRPr="00210024">
        <w:rPr>
          <w:rFonts w:ascii="Times New Roman" w:hAnsi="Times New Roman" w:cs="Times New Roman"/>
          <w:b/>
          <w:bCs/>
        </w:rPr>
        <w:t xml:space="preserve">Figure 10: </w:t>
      </w:r>
      <w:r w:rsidR="00D82D74">
        <w:rPr>
          <w:rFonts w:ascii="Times New Roman" w:hAnsi="Times New Roman" w:cs="Times New Roman"/>
          <w:b/>
          <w:bCs/>
        </w:rPr>
        <w:t>C</w:t>
      </w:r>
      <w:r w:rsidRPr="00210024">
        <w:rPr>
          <w:rFonts w:ascii="Times New Roman" w:hAnsi="Times New Roman" w:cs="Times New Roman"/>
          <w:b/>
          <w:bCs/>
        </w:rPr>
        <w:t xml:space="preserve">onsumer’s </w:t>
      </w:r>
      <w:r w:rsidR="00D82D74">
        <w:rPr>
          <w:rFonts w:ascii="Times New Roman" w:hAnsi="Times New Roman" w:cs="Times New Roman"/>
          <w:b/>
          <w:bCs/>
        </w:rPr>
        <w:t>P</w:t>
      </w:r>
      <w:r w:rsidRPr="00210024">
        <w:rPr>
          <w:rFonts w:ascii="Times New Roman" w:hAnsi="Times New Roman" w:cs="Times New Roman"/>
          <w:b/>
          <w:bCs/>
        </w:rPr>
        <w:t xml:space="preserve">rice </w:t>
      </w:r>
      <w:r w:rsidR="00D82D74">
        <w:rPr>
          <w:rFonts w:ascii="Times New Roman" w:hAnsi="Times New Roman" w:cs="Times New Roman"/>
          <w:b/>
          <w:bCs/>
        </w:rPr>
        <w:t>I</w:t>
      </w:r>
      <w:r w:rsidRPr="00210024">
        <w:rPr>
          <w:rFonts w:ascii="Times New Roman" w:hAnsi="Times New Roman" w:cs="Times New Roman"/>
          <w:b/>
          <w:bCs/>
        </w:rPr>
        <w:t>ndex</w:t>
      </w:r>
      <w:r w:rsidR="00D82D74">
        <w:rPr>
          <w:rFonts w:ascii="Times New Roman" w:hAnsi="Times New Roman" w:cs="Times New Roman"/>
          <w:b/>
          <w:bCs/>
        </w:rPr>
        <w:t xml:space="preserve"> (CPI) </w:t>
      </w:r>
      <w:r w:rsidR="00D82D74" w:rsidRPr="004E405F">
        <w:rPr>
          <w:rFonts w:ascii="Times New Roman" w:hAnsi="Times New Roman" w:cs="Times New Roman"/>
          <w:b/>
          <w:bCs/>
        </w:rPr>
        <w:t>in</w:t>
      </w:r>
      <w:r w:rsidR="00D82D74">
        <w:rPr>
          <w:rFonts w:ascii="Times New Roman" w:hAnsi="Times New Roman" w:cs="Times New Roman"/>
          <w:b/>
          <w:bCs/>
        </w:rPr>
        <w:t xml:space="preserve"> the</w:t>
      </w:r>
      <w:r w:rsidR="00D82D74" w:rsidRPr="004E405F">
        <w:rPr>
          <w:rFonts w:ascii="Times New Roman" w:hAnsi="Times New Roman" w:cs="Times New Roman"/>
          <w:b/>
          <w:bCs/>
        </w:rPr>
        <w:t xml:space="preserve"> Palestinian </w:t>
      </w:r>
      <w:r w:rsidR="00D82D74">
        <w:rPr>
          <w:rFonts w:ascii="Times New Roman" w:hAnsi="Times New Roman" w:cs="Times New Roman"/>
          <w:b/>
          <w:bCs/>
        </w:rPr>
        <w:t>Territory,</w:t>
      </w:r>
      <w:r w:rsidRPr="00210024">
        <w:rPr>
          <w:rFonts w:ascii="Times New Roman" w:hAnsi="Times New Roman" w:cs="Times New Roman"/>
          <w:b/>
          <w:bCs/>
        </w:rPr>
        <w:t xml:space="preserve"> (2004-2011)</w:t>
      </w:r>
    </w:p>
    <w:p w:rsidR="007A7FF4" w:rsidRPr="00210024" w:rsidRDefault="007A7FF4" w:rsidP="007A7FF4">
      <w:pPr>
        <w:spacing w:after="0"/>
        <w:jc w:val="center"/>
        <w:rPr>
          <w:rFonts w:ascii="Times New Roman" w:hAnsi="Times New Roman" w:cs="Times New Roman"/>
        </w:rPr>
      </w:pPr>
      <w:r w:rsidRPr="00210024">
        <w:rPr>
          <w:rFonts w:ascii="Times New Roman" w:hAnsi="Times New Roman" w:cs="Times New Roman"/>
          <w:noProof/>
        </w:rPr>
        <w:drawing>
          <wp:inline distT="0" distB="0" distL="0" distR="0">
            <wp:extent cx="4740934" cy="2760453"/>
            <wp:effectExtent l="19050" t="0" r="21566" b="1797"/>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210024">
        <w:rPr>
          <w:rFonts w:ascii="Times New Roman" w:hAnsi="Times New Roman" w:cs="Times New Roman"/>
        </w:rPr>
        <w:br/>
      </w:r>
    </w:p>
    <w:p w:rsidR="00E2628E" w:rsidRDefault="007A7FF4" w:rsidP="00E2628E">
      <w:pPr>
        <w:spacing w:after="0"/>
        <w:jc w:val="both"/>
        <w:rPr>
          <w:rFonts w:ascii="Times New Roman" w:hAnsi="Times New Roman" w:cs="Times New Roman"/>
          <w:sz w:val="24"/>
          <w:szCs w:val="24"/>
        </w:rPr>
      </w:pPr>
      <w:r w:rsidRPr="00E2628E">
        <w:rPr>
          <w:rFonts w:ascii="Times New Roman" w:hAnsi="Times New Roman" w:cs="Times New Roman"/>
          <w:b/>
          <w:bCs/>
          <w:sz w:val="24"/>
          <w:szCs w:val="24"/>
        </w:rPr>
        <w:t xml:space="preserve">The change in consumer prices varied at level of Palestinian </w:t>
      </w:r>
      <w:r w:rsidR="002C7C30">
        <w:rPr>
          <w:rFonts w:ascii="Times New Roman" w:hAnsi="Times New Roman" w:cs="Times New Roman"/>
          <w:b/>
          <w:bCs/>
          <w:sz w:val="24"/>
          <w:szCs w:val="24"/>
        </w:rPr>
        <w:t>Territory</w:t>
      </w:r>
      <w:r w:rsidRPr="00E2628E">
        <w:rPr>
          <w:rFonts w:ascii="Times New Roman" w:hAnsi="Times New Roman" w:cs="Times New Roman"/>
          <w:b/>
          <w:bCs/>
          <w:sz w:val="24"/>
          <w:szCs w:val="24"/>
        </w:rPr>
        <w:t xml:space="preserve"> in 2011 compared to previous year,  as prices in Jerusalem J1 increased by 4.13%, and in the West Bank increased by 3.54%, while the cost of living index in the Gaza Strip increased marginally by 0.57%.</w:t>
      </w:r>
      <w:r w:rsidRPr="00E2628E">
        <w:rPr>
          <w:rFonts w:ascii="Times New Roman" w:hAnsi="Times New Roman" w:cs="Times New Roman"/>
          <w:sz w:val="24"/>
          <w:szCs w:val="24"/>
        </w:rPr>
        <w:t xml:space="preserve"> This has resulted in the rise in consumer prices in Jerusalem J1 mainly by rising prices of food stuffs and soft drinks increased by 3.17%, prices of textiles, clothing and footwear increased by 8.77%, the prices of alcoholic beverages and tobacco increased by 10.09%, the price range of transport and communications increased by 8.37%, and the prices of housing and related items increased by 1.91%. While cost of living increased in the West Bank, mainly due to rise in prices of food and soft beverages at 2.71%, and the prices of alcoholic beverages and tobacco by 7.43%,  prices of housing and related items increased by 3.55%, prices of transport and communications increased by 5.02%, prices of education services increased by 2.86%. In Gaza Strip, the prices of housing and related items increased by 3.33%, prices of furniture, household wares and goods fell by 6.20%, while prices of education services increased by 0.45%, and the prices of alcoholic beverages and tobacco by 0.41%.</w:t>
      </w:r>
    </w:p>
    <w:p w:rsidR="007A7FF4" w:rsidRPr="00E2628E" w:rsidRDefault="007A7FF4" w:rsidP="00E2628E">
      <w:pPr>
        <w:spacing w:after="0"/>
        <w:jc w:val="both"/>
        <w:rPr>
          <w:rFonts w:ascii="Times New Roman" w:hAnsi="Times New Roman" w:cs="Times New Roman"/>
          <w:sz w:val="24"/>
          <w:szCs w:val="24"/>
        </w:rPr>
      </w:pPr>
      <w:r w:rsidRPr="00E2628E">
        <w:rPr>
          <w:rFonts w:ascii="Times New Roman" w:hAnsi="Times New Roman" w:cs="Times New Roman"/>
          <w:b/>
          <w:bCs/>
          <w:sz w:val="24"/>
          <w:szCs w:val="24"/>
        </w:rPr>
        <w:lastRenderedPageBreak/>
        <w:t>The flexibility of change in consumer prices on the relative weight of groups that make up the index</w:t>
      </w:r>
      <w:r w:rsidRPr="00E2628E">
        <w:rPr>
          <w:rFonts w:ascii="Times New Roman" w:hAnsi="Times New Roman" w:cs="Times New Roman"/>
          <w:sz w:val="24"/>
          <w:szCs w:val="24"/>
        </w:rPr>
        <w:t xml:space="preserve">. As shown in table 5, the group of food and soft drinks have higher relative weight in the consumer's basket in Palestinian </w:t>
      </w:r>
      <w:r w:rsidR="002C7C30">
        <w:rPr>
          <w:rFonts w:ascii="Times New Roman" w:hAnsi="Times New Roman" w:cs="Times New Roman"/>
          <w:sz w:val="24"/>
          <w:szCs w:val="24"/>
        </w:rPr>
        <w:t>Territory</w:t>
      </w:r>
      <w:r w:rsidRPr="00E2628E">
        <w:rPr>
          <w:rFonts w:ascii="Times New Roman" w:hAnsi="Times New Roman" w:cs="Times New Roman"/>
          <w:sz w:val="24"/>
          <w:szCs w:val="24"/>
        </w:rPr>
        <w:t xml:space="preserve"> as it holds 37.6% of the consumer's basket, followed by housing at 10.4%, transportation holds approximately 9.9% , clothing weighs 7.0%, while education services, services of restaurants, cafes and hotels occupy a low rate of the consumer's basket.</w:t>
      </w:r>
    </w:p>
    <w:p w:rsidR="00030E2F" w:rsidRPr="00E2628E" w:rsidRDefault="00030E2F" w:rsidP="007A7FF4">
      <w:pPr>
        <w:spacing w:after="0"/>
        <w:jc w:val="both"/>
        <w:rPr>
          <w:rFonts w:ascii="Times New Roman" w:hAnsi="Times New Roman" w:cs="Times New Roman"/>
          <w:sz w:val="24"/>
          <w:szCs w:val="24"/>
        </w:rPr>
      </w:pPr>
    </w:p>
    <w:p w:rsidR="007A7FF4" w:rsidRPr="00210024" w:rsidRDefault="007A7FF4" w:rsidP="005A2130">
      <w:pPr>
        <w:spacing w:after="0"/>
        <w:jc w:val="center"/>
        <w:rPr>
          <w:rFonts w:ascii="Times New Roman" w:hAnsi="Times New Roman" w:cs="Times New Roman"/>
          <w:b/>
          <w:bCs/>
        </w:rPr>
      </w:pPr>
      <w:r w:rsidRPr="00210024">
        <w:rPr>
          <w:rFonts w:ascii="Times New Roman" w:hAnsi="Times New Roman" w:cs="Times New Roman"/>
          <w:b/>
          <w:bCs/>
        </w:rPr>
        <w:t xml:space="preserve">Table 5:  </w:t>
      </w:r>
      <w:r w:rsidR="005A2130">
        <w:rPr>
          <w:rFonts w:ascii="Times New Roman" w:hAnsi="Times New Roman" w:cs="Times New Roman"/>
          <w:b/>
          <w:bCs/>
        </w:rPr>
        <w:t>C</w:t>
      </w:r>
      <w:r w:rsidRPr="00210024">
        <w:rPr>
          <w:rFonts w:ascii="Times New Roman" w:hAnsi="Times New Roman" w:cs="Times New Roman"/>
          <w:b/>
          <w:bCs/>
        </w:rPr>
        <w:t xml:space="preserve">onsumer </w:t>
      </w:r>
      <w:r w:rsidR="005A2130">
        <w:rPr>
          <w:rFonts w:ascii="Times New Roman" w:hAnsi="Times New Roman" w:cs="Times New Roman"/>
          <w:b/>
          <w:bCs/>
        </w:rPr>
        <w:t>P</w:t>
      </w:r>
      <w:r w:rsidRPr="00210024">
        <w:rPr>
          <w:rFonts w:ascii="Times New Roman" w:hAnsi="Times New Roman" w:cs="Times New Roman"/>
          <w:b/>
          <w:bCs/>
        </w:rPr>
        <w:t>rice</w:t>
      </w:r>
      <w:r w:rsidR="005A2130" w:rsidRPr="005A2130">
        <w:rPr>
          <w:rFonts w:ascii="Times New Roman" w:hAnsi="Times New Roman" w:cs="Times New Roman"/>
          <w:b/>
          <w:bCs/>
        </w:rPr>
        <w:t xml:space="preserve"> </w:t>
      </w:r>
      <w:r w:rsidR="005A2130" w:rsidRPr="00210024">
        <w:rPr>
          <w:rFonts w:ascii="Times New Roman" w:hAnsi="Times New Roman" w:cs="Times New Roman"/>
          <w:b/>
          <w:bCs/>
        </w:rPr>
        <w:t>Index</w:t>
      </w:r>
      <w:r w:rsidRPr="00210024">
        <w:rPr>
          <w:rFonts w:ascii="Times New Roman" w:hAnsi="Times New Roman" w:cs="Times New Roman"/>
          <w:b/>
          <w:bCs/>
        </w:rPr>
        <w:t xml:space="preserve"> and relative weight by major groups</w:t>
      </w:r>
      <w:r w:rsidRPr="00210024">
        <w:rPr>
          <w:rFonts w:ascii="Times New Roman" w:hAnsi="Times New Roman" w:cs="Times New Roman"/>
          <w:b/>
          <w:bCs/>
        </w:rPr>
        <w:br/>
        <w:t xml:space="preserve">of consumer prices in </w:t>
      </w:r>
      <w:r w:rsidR="008C2F83">
        <w:rPr>
          <w:rFonts w:ascii="Times New Roman" w:hAnsi="Times New Roman" w:cs="Times New Roman"/>
          <w:b/>
          <w:bCs/>
        </w:rPr>
        <w:t xml:space="preserve">the </w:t>
      </w:r>
      <w:r w:rsidRPr="00210024">
        <w:rPr>
          <w:rFonts w:ascii="Times New Roman" w:hAnsi="Times New Roman" w:cs="Times New Roman"/>
          <w:b/>
          <w:bCs/>
        </w:rPr>
        <w:t xml:space="preserve">Palestinian </w:t>
      </w:r>
      <w:r w:rsidR="002C7C30">
        <w:rPr>
          <w:rFonts w:ascii="Times New Roman" w:hAnsi="Times New Roman" w:cs="Times New Roman"/>
          <w:b/>
          <w:bCs/>
        </w:rPr>
        <w:t>Territory</w:t>
      </w:r>
      <w:r w:rsidRPr="00210024">
        <w:rPr>
          <w:rFonts w:ascii="Times New Roman" w:hAnsi="Times New Roman" w:cs="Times New Roman"/>
          <w:b/>
          <w:bCs/>
        </w:rPr>
        <w:t xml:space="preserve"> in (2010-2011)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4"/>
        <w:gridCol w:w="1016"/>
        <w:gridCol w:w="1275"/>
        <w:gridCol w:w="1134"/>
        <w:gridCol w:w="1043"/>
      </w:tblGrid>
      <w:tr w:rsidR="007A7FF4" w:rsidRPr="00210024" w:rsidTr="007A7FF4">
        <w:trPr>
          <w:cantSplit/>
          <w:trHeight w:hRule="exact" w:val="284"/>
          <w:jc w:val="center"/>
        </w:trPr>
        <w:tc>
          <w:tcPr>
            <w:tcW w:w="4054" w:type="dxa"/>
            <w:vMerge w:val="restart"/>
            <w:tcBorders>
              <w:top w:val="single" w:sz="12" w:space="0" w:color="auto"/>
              <w:left w:val="nil"/>
              <w:bottom w:val="nil"/>
              <w:right w:val="nil"/>
            </w:tcBorders>
            <w:vAlign w:val="center"/>
          </w:tcPr>
          <w:p w:rsidR="007A7FF4" w:rsidRPr="00210024" w:rsidRDefault="007A7FF4" w:rsidP="00186D70">
            <w:pPr>
              <w:pStyle w:val="BodyText3"/>
              <w:spacing w:after="0"/>
              <w:jc w:val="left"/>
              <w:rPr>
                <w:b/>
                <w:bCs/>
                <w:sz w:val="18"/>
                <w:szCs w:val="18"/>
                <w:lang w:eastAsia="en-US"/>
              </w:rPr>
            </w:pPr>
            <w:r w:rsidRPr="00210024">
              <w:rPr>
                <w:b/>
                <w:bCs/>
                <w:sz w:val="18"/>
                <w:szCs w:val="18"/>
                <w:lang w:eastAsia="en-US"/>
              </w:rPr>
              <w:t>Main groups</w:t>
            </w:r>
          </w:p>
        </w:tc>
        <w:tc>
          <w:tcPr>
            <w:tcW w:w="3425" w:type="dxa"/>
            <w:gridSpan w:val="3"/>
            <w:tcBorders>
              <w:top w:val="single" w:sz="12" w:space="0" w:color="auto"/>
              <w:left w:val="nil"/>
              <w:bottom w:val="nil"/>
              <w:right w:val="nil"/>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Consumer Price Index</w:t>
            </w:r>
          </w:p>
        </w:tc>
        <w:tc>
          <w:tcPr>
            <w:tcW w:w="1043" w:type="dxa"/>
            <w:vMerge w:val="restart"/>
            <w:tcBorders>
              <w:top w:val="single" w:sz="12" w:space="0" w:color="auto"/>
              <w:left w:val="nil"/>
              <w:bottom w:val="nil"/>
              <w:right w:val="nil"/>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Relative Weight*</w:t>
            </w:r>
          </w:p>
        </w:tc>
      </w:tr>
      <w:tr w:rsidR="007A7FF4" w:rsidRPr="00210024" w:rsidTr="007A7FF4">
        <w:trPr>
          <w:cantSplit/>
          <w:trHeight w:hRule="exact" w:val="284"/>
          <w:jc w:val="center"/>
        </w:trPr>
        <w:tc>
          <w:tcPr>
            <w:tcW w:w="4054" w:type="dxa"/>
            <w:vMerge/>
            <w:tcBorders>
              <w:top w:val="nil"/>
              <w:left w:val="nil"/>
              <w:bottom w:val="single" w:sz="12" w:space="0" w:color="auto"/>
              <w:right w:val="nil"/>
            </w:tcBorders>
          </w:tcPr>
          <w:p w:rsidR="007A7FF4" w:rsidRPr="00210024" w:rsidRDefault="007A7FF4" w:rsidP="00186D70">
            <w:pPr>
              <w:pStyle w:val="BodyText3"/>
              <w:spacing w:after="0"/>
              <w:jc w:val="center"/>
              <w:rPr>
                <w:b/>
                <w:bCs/>
                <w:sz w:val="18"/>
                <w:szCs w:val="18"/>
                <w:lang w:eastAsia="en-US"/>
              </w:rPr>
            </w:pPr>
          </w:p>
        </w:tc>
        <w:tc>
          <w:tcPr>
            <w:tcW w:w="1016" w:type="dxa"/>
            <w:tcBorders>
              <w:top w:val="nil"/>
              <w:left w:val="nil"/>
              <w:bottom w:val="single" w:sz="12" w:space="0" w:color="auto"/>
              <w:right w:val="nil"/>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2010</w:t>
            </w:r>
          </w:p>
        </w:tc>
        <w:tc>
          <w:tcPr>
            <w:tcW w:w="1275" w:type="dxa"/>
            <w:tcBorders>
              <w:top w:val="nil"/>
              <w:left w:val="nil"/>
              <w:bottom w:val="single" w:sz="12" w:space="0" w:color="auto"/>
              <w:right w:val="nil"/>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2011</w:t>
            </w:r>
          </w:p>
        </w:tc>
        <w:tc>
          <w:tcPr>
            <w:tcW w:w="1134" w:type="dxa"/>
            <w:tcBorders>
              <w:top w:val="nil"/>
              <w:left w:val="nil"/>
              <w:bottom w:val="single" w:sz="12" w:space="0" w:color="auto"/>
              <w:right w:val="nil"/>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 change</w:t>
            </w:r>
          </w:p>
        </w:tc>
        <w:tc>
          <w:tcPr>
            <w:tcW w:w="1043" w:type="dxa"/>
            <w:vMerge/>
            <w:tcBorders>
              <w:top w:val="nil"/>
              <w:left w:val="nil"/>
              <w:bottom w:val="single" w:sz="12" w:space="0" w:color="auto"/>
              <w:right w:val="nil"/>
            </w:tcBorders>
          </w:tcPr>
          <w:p w:rsidR="007A7FF4" w:rsidRPr="00210024" w:rsidRDefault="007A7FF4" w:rsidP="00186D70">
            <w:pPr>
              <w:pStyle w:val="BodyText3"/>
              <w:spacing w:after="0"/>
              <w:jc w:val="center"/>
              <w:rPr>
                <w:b/>
                <w:bCs/>
                <w:sz w:val="18"/>
                <w:szCs w:val="18"/>
                <w:lang w:eastAsia="en-US"/>
              </w:rPr>
            </w:pPr>
          </w:p>
        </w:tc>
      </w:tr>
      <w:tr w:rsidR="007A7FF4" w:rsidRPr="00210024" w:rsidTr="007A7FF4">
        <w:trPr>
          <w:trHeight w:hRule="exact" w:val="284"/>
          <w:jc w:val="center"/>
        </w:trPr>
        <w:tc>
          <w:tcPr>
            <w:tcW w:w="4054" w:type="dxa"/>
            <w:tcBorders>
              <w:top w:val="single" w:sz="12" w:space="0" w:color="auto"/>
              <w:left w:val="nil"/>
              <w:bottom w:val="nil"/>
              <w:right w:val="nil"/>
            </w:tcBorders>
            <w:vAlign w:val="center"/>
          </w:tcPr>
          <w:p w:rsidR="007A7FF4" w:rsidRPr="00210024" w:rsidRDefault="007A7FF4" w:rsidP="00186D70">
            <w:pPr>
              <w:autoSpaceDE w:val="0"/>
              <w:autoSpaceDN w:val="0"/>
              <w:adjustRightInd w:val="0"/>
              <w:spacing w:after="0" w:line="240" w:lineRule="auto"/>
              <w:rPr>
                <w:rFonts w:ascii="Times New Roman" w:hAnsi="Times New Roman" w:cs="Times New Roman"/>
                <w:sz w:val="18"/>
                <w:szCs w:val="18"/>
              </w:rPr>
            </w:pPr>
            <w:r w:rsidRPr="00210024">
              <w:rPr>
                <w:rFonts w:ascii="Times New Roman" w:hAnsi="Times New Roman" w:cs="Times New Roman"/>
                <w:sz w:val="18"/>
                <w:szCs w:val="18"/>
              </w:rPr>
              <w:t>Food products &amp;beverages</w:t>
            </w:r>
          </w:p>
        </w:tc>
        <w:tc>
          <w:tcPr>
            <w:tcW w:w="1016" w:type="dxa"/>
            <w:tcBorders>
              <w:top w:val="single" w:sz="12" w:space="0" w:color="auto"/>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144.63</w:t>
            </w:r>
          </w:p>
        </w:tc>
        <w:tc>
          <w:tcPr>
            <w:tcW w:w="1275" w:type="dxa"/>
            <w:tcBorders>
              <w:top w:val="single" w:sz="12" w:space="0" w:color="auto"/>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148.10</w:t>
            </w:r>
          </w:p>
        </w:tc>
        <w:tc>
          <w:tcPr>
            <w:tcW w:w="1134" w:type="dxa"/>
            <w:tcBorders>
              <w:top w:val="single" w:sz="12" w:space="0" w:color="auto"/>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2.40</w:t>
            </w:r>
          </w:p>
        </w:tc>
        <w:tc>
          <w:tcPr>
            <w:tcW w:w="1043" w:type="dxa"/>
            <w:tcBorders>
              <w:top w:val="single" w:sz="12" w:space="0" w:color="auto"/>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37.64</w:t>
            </w:r>
          </w:p>
        </w:tc>
      </w:tr>
      <w:tr w:rsidR="007A7FF4" w:rsidRPr="00210024" w:rsidTr="007A7FF4">
        <w:trPr>
          <w:trHeight w:hRule="exact" w:val="284"/>
          <w:jc w:val="center"/>
        </w:trPr>
        <w:tc>
          <w:tcPr>
            <w:tcW w:w="4054" w:type="dxa"/>
            <w:tcBorders>
              <w:top w:val="nil"/>
              <w:left w:val="nil"/>
              <w:bottom w:val="nil"/>
              <w:right w:val="nil"/>
            </w:tcBorders>
            <w:vAlign w:val="center"/>
          </w:tcPr>
          <w:p w:rsidR="007A7FF4" w:rsidRPr="00210024" w:rsidRDefault="007A7FF4" w:rsidP="00186D70">
            <w:pPr>
              <w:pStyle w:val="NormalWeb"/>
              <w:spacing w:before="0" w:beforeAutospacing="0" w:after="0" w:afterAutospacing="0"/>
              <w:rPr>
                <w:sz w:val="18"/>
                <w:szCs w:val="18"/>
              </w:rPr>
            </w:pPr>
            <w:r w:rsidRPr="00210024">
              <w:rPr>
                <w:sz w:val="18"/>
                <w:szCs w:val="18"/>
              </w:rPr>
              <w:t>Alcohol Beverages and tobacco</w:t>
            </w:r>
          </w:p>
        </w:tc>
        <w:tc>
          <w:tcPr>
            <w:tcW w:w="1016"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151.80</w:t>
            </w:r>
          </w:p>
        </w:tc>
        <w:tc>
          <w:tcPr>
            <w:tcW w:w="1275"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161.24</w:t>
            </w:r>
          </w:p>
        </w:tc>
        <w:tc>
          <w:tcPr>
            <w:tcW w:w="1134"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6.22</w:t>
            </w:r>
          </w:p>
        </w:tc>
        <w:tc>
          <w:tcPr>
            <w:tcW w:w="1043" w:type="dxa"/>
            <w:tcBorders>
              <w:top w:val="nil"/>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4.66</w:t>
            </w:r>
          </w:p>
        </w:tc>
      </w:tr>
      <w:tr w:rsidR="007A7FF4" w:rsidRPr="00210024" w:rsidTr="007A7FF4">
        <w:trPr>
          <w:trHeight w:hRule="exact" w:val="284"/>
          <w:jc w:val="center"/>
        </w:trPr>
        <w:tc>
          <w:tcPr>
            <w:tcW w:w="4054" w:type="dxa"/>
            <w:tcBorders>
              <w:top w:val="nil"/>
              <w:left w:val="nil"/>
              <w:bottom w:val="nil"/>
              <w:right w:val="nil"/>
            </w:tcBorders>
            <w:vAlign w:val="center"/>
          </w:tcPr>
          <w:p w:rsidR="007A7FF4" w:rsidRPr="00210024" w:rsidRDefault="007A7FF4" w:rsidP="00186D70">
            <w:pPr>
              <w:pStyle w:val="NormalWeb"/>
              <w:spacing w:before="0" w:beforeAutospacing="0" w:after="0" w:afterAutospacing="0"/>
              <w:rPr>
                <w:sz w:val="18"/>
                <w:szCs w:val="18"/>
              </w:rPr>
            </w:pPr>
            <w:r w:rsidRPr="00210024">
              <w:rPr>
                <w:sz w:val="18"/>
                <w:szCs w:val="18"/>
              </w:rPr>
              <w:t>Textiles, clothing and footwear</w:t>
            </w:r>
          </w:p>
        </w:tc>
        <w:tc>
          <w:tcPr>
            <w:tcW w:w="1016"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109.16</w:t>
            </w:r>
          </w:p>
        </w:tc>
        <w:tc>
          <w:tcPr>
            <w:tcW w:w="1275"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114.18</w:t>
            </w:r>
          </w:p>
        </w:tc>
        <w:tc>
          <w:tcPr>
            <w:tcW w:w="1134"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4.60</w:t>
            </w:r>
          </w:p>
        </w:tc>
        <w:tc>
          <w:tcPr>
            <w:tcW w:w="1043" w:type="dxa"/>
            <w:tcBorders>
              <w:top w:val="nil"/>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6.96</w:t>
            </w:r>
          </w:p>
        </w:tc>
      </w:tr>
      <w:tr w:rsidR="007A7FF4" w:rsidRPr="00210024" w:rsidTr="007A7FF4">
        <w:trPr>
          <w:trHeight w:hRule="exact" w:val="284"/>
          <w:jc w:val="center"/>
        </w:trPr>
        <w:tc>
          <w:tcPr>
            <w:tcW w:w="4054" w:type="dxa"/>
            <w:tcBorders>
              <w:top w:val="nil"/>
              <w:left w:val="nil"/>
              <w:bottom w:val="nil"/>
              <w:right w:val="nil"/>
            </w:tcBorders>
            <w:vAlign w:val="center"/>
          </w:tcPr>
          <w:p w:rsidR="007A7FF4" w:rsidRPr="00210024" w:rsidRDefault="007A7FF4" w:rsidP="00186D70">
            <w:pPr>
              <w:pStyle w:val="NormalWeb"/>
              <w:spacing w:before="0" w:beforeAutospacing="0" w:after="0" w:afterAutospacing="0"/>
              <w:rPr>
                <w:sz w:val="18"/>
                <w:szCs w:val="18"/>
              </w:rPr>
            </w:pPr>
            <w:r w:rsidRPr="00210024">
              <w:rPr>
                <w:sz w:val="18"/>
                <w:szCs w:val="18"/>
              </w:rPr>
              <w:t>Housing</w:t>
            </w:r>
          </w:p>
          <w:p w:rsidR="007A7FF4" w:rsidRPr="00210024" w:rsidRDefault="007A7FF4" w:rsidP="00186D70">
            <w:pPr>
              <w:pStyle w:val="NormalWeb"/>
              <w:spacing w:before="0" w:beforeAutospacing="0" w:after="0" w:afterAutospacing="0"/>
              <w:rPr>
                <w:sz w:val="18"/>
                <w:szCs w:val="18"/>
              </w:rPr>
            </w:pPr>
          </w:p>
        </w:tc>
        <w:tc>
          <w:tcPr>
            <w:tcW w:w="1016"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127.23</w:t>
            </w:r>
          </w:p>
        </w:tc>
        <w:tc>
          <w:tcPr>
            <w:tcW w:w="1275"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130.98</w:t>
            </w:r>
          </w:p>
        </w:tc>
        <w:tc>
          <w:tcPr>
            <w:tcW w:w="1134"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2.95</w:t>
            </w:r>
          </w:p>
        </w:tc>
        <w:tc>
          <w:tcPr>
            <w:tcW w:w="1043" w:type="dxa"/>
            <w:tcBorders>
              <w:top w:val="nil"/>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10.38</w:t>
            </w:r>
          </w:p>
        </w:tc>
      </w:tr>
      <w:tr w:rsidR="007A7FF4" w:rsidRPr="00210024" w:rsidTr="007A7FF4">
        <w:trPr>
          <w:trHeight w:hRule="exact" w:val="284"/>
          <w:jc w:val="center"/>
        </w:trPr>
        <w:tc>
          <w:tcPr>
            <w:tcW w:w="4054" w:type="dxa"/>
            <w:tcBorders>
              <w:top w:val="nil"/>
              <w:left w:val="nil"/>
              <w:bottom w:val="nil"/>
              <w:right w:val="nil"/>
            </w:tcBorders>
            <w:vAlign w:val="center"/>
          </w:tcPr>
          <w:p w:rsidR="007A7FF4" w:rsidRPr="00210024" w:rsidRDefault="007A7FF4" w:rsidP="00186D70">
            <w:pPr>
              <w:pStyle w:val="NormalWeb"/>
              <w:spacing w:before="0" w:beforeAutospacing="0" w:after="0" w:afterAutospacing="0"/>
              <w:rPr>
                <w:sz w:val="18"/>
                <w:szCs w:val="18"/>
              </w:rPr>
            </w:pPr>
            <w:r w:rsidRPr="00210024">
              <w:rPr>
                <w:sz w:val="18"/>
                <w:szCs w:val="18"/>
              </w:rPr>
              <w:t>Furniture, household goods</w:t>
            </w:r>
          </w:p>
        </w:tc>
        <w:tc>
          <w:tcPr>
            <w:tcW w:w="1016"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115.30</w:t>
            </w:r>
          </w:p>
        </w:tc>
        <w:tc>
          <w:tcPr>
            <w:tcW w:w="1275"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115.27</w:t>
            </w:r>
          </w:p>
        </w:tc>
        <w:tc>
          <w:tcPr>
            <w:tcW w:w="1134"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0.03-</w:t>
            </w:r>
          </w:p>
        </w:tc>
        <w:tc>
          <w:tcPr>
            <w:tcW w:w="1043" w:type="dxa"/>
            <w:tcBorders>
              <w:top w:val="nil"/>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6.31</w:t>
            </w:r>
          </w:p>
        </w:tc>
      </w:tr>
      <w:tr w:rsidR="007A7FF4" w:rsidRPr="00210024" w:rsidTr="007A7FF4">
        <w:trPr>
          <w:trHeight w:hRule="exact" w:val="284"/>
          <w:jc w:val="center"/>
        </w:trPr>
        <w:tc>
          <w:tcPr>
            <w:tcW w:w="4054" w:type="dxa"/>
            <w:tcBorders>
              <w:top w:val="nil"/>
              <w:left w:val="nil"/>
              <w:bottom w:val="nil"/>
              <w:right w:val="nil"/>
            </w:tcBorders>
            <w:vAlign w:val="center"/>
          </w:tcPr>
          <w:p w:rsidR="007A7FF4" w:rsidRPr="00210024" w:rsidRDefault="007A7FF4" w:rsidP="00186D70">
            <w:pPr>
              <w:pStyle w:val="NormalWeb"/>
              <w:spacing w:before="0" w:beforeAutospacing="0" w:after="0" w:afterAutospacing="0"/>
              <w:rPr>
                <w:sz w:val="18"/>
                <w:szCs w:val="18"/>
              </w:rPr>
            </w:pPr>
            <w:r w:rsidRPr="00210024">
              <w:rPr>
                <w:sz w:val="18"/>
                <w:szCs w:val="18"/>
              </w:rPr>
              <w:t>Medical care</w:t>
            </w:r>
          </w:p>
        </w:tc>
        <w:tc>
          <w:tcPr>
            <w:tcW w:w="1016"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114.77</w:t>
            </w:r>
          </w:p>
        </w:tc>
        <w:tc>
          <w:tcPr>
            <w:tcW w:w="1275"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116.30</w:t>
            </w:r>
          </w:p>
        </w:tc>
        <w:tc>
          <w:tcPr>
            <w:tcW w:w="1134"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1.33</w:t>
            </w:r>
          </w:p>
        </w:tc>
        <w:tc>
          <w:tcPr>
            <w:tcW w:w="1043" w:type="dxa"/>
            <w:tcBorders>
              <w:top w:val="nil"/>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4.45</w:t>
            </w:r>
          </w:p>
        </w:tc>
      </w:tr>
      <w:tr w:rsidR="007A7FF4" w:rsidRPr="00210024" w:rsidTr="007A7FF4">
        <w:trPr>
          <w:trHeight w:hRule="exact" w:val="284"/>
          <w:jc w:val="center"/>
        </w:trPr>
        <w:tc>
          <w:tcPr>
            <w:tcW w:w="4054" w:type="dxa"/>
            <w:tcBorders>
              <w:top w:val="nil"/>
              <w:left w:val="nil"/>
              <w:bottom w:val="nil"/>
              <w:right w:val="nil"/>
            </w:tcBorders>
            <w:vAlign w:val="center"/>
          </w:tcPr>
          <w:p w:rsidR="007A7FF4" w:rsidRPr="00210024" w:rsidRDefault="007A7FF4" w:rsidP="00186D70">
            <w:pPr>
              <w:pStyle w:val="NormalWeb"/>
              <w:spacing w:before="0" w:beforeAutospacing="0" w:after="0" w:afterAutospacing="0"/>
              <w:rPr>
                <w:sz w:val="18"/>
                <w:szCs w:val="18"/>
              </w:rPr>
            </w:pPr>
            <w:r w:rsidRPr="00210024">
              <w:rPr>
                <w:sz w:val="18"/>
                <w:szCs w:val="18"/>
              </w:rPr>
              <w:t>Transportation</w:t>
            </w:r>
          </w:p>
        </w:tc>
        <w:tc>
          <w:tcPr>
            <w:tcW w:w="1016" w:type="dxa"/>
            <w:tcBorders>
              <w:top w:val="nil"/>
              <w:left w:val="nil"/>
              <w:bottom w:val="nil"/>
              <w:right w:val="nil"/>
            </w:tcBorders>
            <w:vAlign w:val="center"/>
          </w:tcPr>
          <w:p w:rsidR="007A7FF4" w:rsidRPr="00210024" w:rsidRDefault="007A7FF4" w:rsidP="00186D70">
            <w:pPr>
              <w:spacing w:after="0"/>
              <w:rPr>
                <w:rFonts w:ascii="Times New Roman" w:hAnsi="Times New Roman" w:cs="Times New Roman"/>
                <w:sz w:val="18"/>
                <w:szCs w:val="18"/>
              </w:rPr>
            </w:pPr>
            <w:r w:rsidRPr="00210024">
              <w:rPr>
                <w:rFonts w:ascii="Times New Roman" w:hAnsi="Times New Roman" w:cs="Times New Roman"/>
                <w:sz w:val="18"/>
                <w:szCs w:val="18"/>
                <w:rtl/>
              </w:rPr>
              <w:t>120.71</w:t>
            </w:r>
          </w:p>
        </w:tc>
        <w:tc>
          <w:tcPr>
            <w:tcW w:w="1275" w:type="dxa"/>
            <w:tcBorders>
              <w:top w:val="nil"/>
              <w:left w:val="nil"/>
              <w:bottom w:val="nil"/>
              <w:right w:val="nil"/>
            </w:tcBorders>
            <w:vAlign w:val="center"/>
          </w:tcPr>
          <w:p w:rsidR="007A7FF4" w:rsidRPr="00210024" w:rsidRDefault="007A7FF4" w:rsidP="00186D70">
            <w:pPr>
              <w:spacing w:after="0"/>
              <w:rPr>
                <w:rFonts w:ascii="Times New Roman" w:hAnsi="Times New Roman" w:cs="Times New Roman"/>
                <w:sz w:val="18"/>
                <w:szCs w:val="18"/>
              </w:rPr>
            </w:pPr>
            <w:r w:rsidRPr="00210024">
              <w:rPr>
                <w:rFonts w:ascii="Times New Roman" w:hAnsi="Times New Roman" w:cs="Times New Roman"/>
                <w:sz w:val="18"/>
                <w:szCs w:val="18"/>
                <w:rtl/>
              </w:rPr>
              <w:t>126.47</w:t>
            </w:r>
          </w:p>
        </w:tc>
        <w:tc>
          <w:tcPr>
            <w:tcW w:w="1134" w:type="dxa"/>
            <w:tcBorders>
              <w:top w:val="nil"/>
              <w:left w:val="nil"/>
              <w:bottom w:val="nil"/>
              <w:right w:val="nil"/>
            </w:tcBorders>
            <w:vAlign w:val="center"/>
          </w:tcPr>
          <w:p w:rsidR="007A7FF4" w:rsidRPr="00210024" w:rsidRDefault="007A7FF4" w:rsidP="00186D70">
            <w:pPr>
              <w:spacing w:after="0"/>
              <w:rPr>
                <w:rFonts w:ascii="Times New Roman" w:hAnsi="Times New Roman" w:cs="Times New Roman"/>
                <w:sz w:val="18"/>
                <w:szCs w:val="18"/>
              </w:rPr>
            </w:pPr>
            <w:r w:rsidRPr="00210024">
              <w:rPr>
                <w:rFonts w:ascii="Times New Roman" w:hAnsi="Times New Roman" w:cs="Times New Roman"/>
                <w:sz w:val="18"/>
                <w:szCs w:val="18"/>
                <w:rtl/>
              </w:rPr>
              <w:t>4.78</w:t>
            </w:r>
          </w:p>
        </w:tc>
        <w:tc>
          <w:tcPr>
            <w:tcW w:w="1043" w:type="dxa"/>
            <w:tcBorders>
              <w:top w:val="nil"/>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9.86</w:t>
            </w:r>
          </w:p>
        </w:tc>
      </w:tr>
      <w:tr w:rsidR="007A7FF4" w:rsidRPr="00210024" w:rsidTr="007A7FF4">
        <w:trPr>
          <w:trHeight w:hRule="exact" w:val="284"/>
          <w:jc w:val="center"/>
        </w:trPr>
        <w:tc>
          <w:tcPr>
            <w:tcW w:w="4054" w:type="dxa"/>
            <w:tcBorders>
              <w:top w:val="nil"/>
              <w:left w:val="nil"/>
              <w:bottom w:val="nil"/>
              <w:right w:val="nil"/>
            </w:tcBorders>
            <w:vAlign w:val="center"/>
          </w:tcPr>
          <w:p w:rsidR="007A7FF4" w:rsidRPr="00210024" w:rsidRDefault="007A7FF4" w:rsidP="00186D70">
            <w:pPr>
              <w:pStyle w:val="NormalWeb"/>
              <w:spacing w:before="0" w:beforeAutospacing="0" w:after="0" w:afterAutospacing="0"/>
              <w:rPr>
                <w:sz w:val="18"/>
                <w:szCs w:val="18"/>
              </w:rPr>
            </w:pPr>
            <w:r w:rsidRPr="00210024">
              <w:rPr>
                <w:sz w:val="18"/>
                <w:szCs w:val="18"/>
              </w:rPr>
              <w:t>Communications</w:t>
            </w:r>
          </w:p>
        </w:tc>
        <w:tc>
          <w:tcPr>
            <w:tcW w:w="1016"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106.92</w:t>
            </w:r>
          </w:p>
        </w:tc>
        <w:tc>
          <w:tcPr>
            <w:tcW w:w="1275"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107.33</w:t>
            </w:r>
          </w:p>
        </w:tc>
        <w:tc>
          <w:tcPr>
            <w:tcW w:w="1134"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0.39</w:t>
            </w:r>
          </w:p>
        </w:tc>
        <w:tc>
          <w:tcPr>
            <w:tcW w:w="1043" w:type="dxa"/>
            <w:tcBorders>
              <w:top w:val="nil"/>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3.79</w:t>
            </w:r>
          </w:p>
        </w:tc>
      </w:tr>
      <w:tr w:rsidR="007A7FF4" w:rsidRPr="00210024" w:rsidTr="007A7FF4">
        <w:trPr>
          <w:trHeight w:hRule="exact" w:val="284"/>
          <w:jc w:val="center"/>
        </w:trPr>
        <w:tc>
          <w:tcPr>
            <w:tcW w:w="4054" w:type="dxa"/>
            <w:tcBorders>
              <w:top w:val="nil"/>
              <w:left w:val="nil"/>
              <w:bottom w:val="nil"/>
              <w:right w:val="nil"/>
            </w:tcBorders>
            <w:vAlign w:val="center"/>
          </w:tcPr>
          <w:p w:rsidR="007A7FF4" w:rsidRPr="00210024" w:rsidRDefault="007A7FF4" w:rsidP="00186D70">
            <w:pPr>
              <w:pStyle w:val="NormalWeb"/>
              <w:spacing w:before="0" w:beforeAutospacing="0" w:after="0" w:afterAutospacing="0"/>
              <w:rPr>
                <w:sz w:val="18"/>
                <w:szCs w:val="18"/>
              </w:rPr>
            </w:pPr>
            <w:r w:rsidRPr="00210024">
              <w:rPr>
                <w:sz w:val="18"/>
                <w:szCs w:val="18"/>
              </w:rPr>
              <w:t>Recreational, cultural goods &amp; services</w:t>
            </w:r>
          </w:p>
        </w:tc>
        <w:tc>
          <w:tcPr>
            <w:tcW w:w="1016"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103.00</w:t>
            </w:r>
          </w:p>
        </w:tc>
        <w:tc>
          <w:tcPr>
            <w:tcW w:w="1275"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104.24</w:t>
            </w:r>
          </w:p>
        </w:tc>
        <w:tc>
          <w:tcPr>
            <w:tcW w:w="1134"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1.21</w:t>
            </w:r>
          </w:p>
        </w:tc>
        <w:tc>
          <w:tcPr>
            <w:tcW w:w="1043" w:type="dxa"/>
            <w:tcBorders>
              <w:top w:val="nil"/>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4.84</w:t>
            </w:r>
          </w:p>
        </w:tc>
      </w:tr>
      <w:tr w:rsidR="007A7FF4" w:rsidRPr="00210024" w:rsidTr="007A7FF4">
        <w:trPr>
          <w:trHeight w:hRule="exact" w:val="284"/>
          <w:jc w:val="center"/>
        </w:trPr>
        <w:tc>
          <w:tcPr>
            <w:tcW w:w="4054" w:type="dxa"/>
            <w:tcBorders>
              <w:top w:val="nil"/>
              <w:left w:val="nil"/>
              <w:bottom w:val="nil"/>
              <w:right w:val="nil"/>
            </w:tcBorders>
            <w:vAlign w:val="center"/>
          </w:tcPr>
          <w:p w:rsidR="007A7FF4" w:rsidRPr="00210024" w:rsidRDefault="007A7FF4" w:rsidP="00186D70">
            <w:pPr>
              <w:pStyle w:val="NormalWeb"/>
              <w:spacing w:before="0" w:beforeAutospacing="0" w:after="0" w:afterAutospacing="0"/>
              <w:rPr>
                <w:sz w:val="18"/>
                <w:szCs w:val="18"/>
              </w:rPr>
            </w:pPr>
            <w:r w:rsidRPr="00210024">
              <w:rPr>
                <w:sz w:val="18"/>
                <w:szCs w:val="18"/>
              </w:rPr>
              <w:t>Education</w:t>
            </w:r>
          </w:p>
        </w:tc>
        <w:tc>
          <w:tcPr>
            <w:tcW w:w="1016"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110.49</w:t>
            </w:r>
          </w:p>
        </w:tc>
        <w:tc>
          <w:tcPr>
            <w:tcW w:w="1275"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112.81</w:t>
            </w:r>
          </w:p>
        </w:tc>
        <w:tc>
          <w:tcPr>
            <w:tcW w:w="1134"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2.10</w:t>
            </w:r>
          </w:p>
        </w:tc>
        <w:tc>
          <w:tcPr>
            <w:tcW w:w="1043" w:type="dxa"/>
            <w:tcBorders>
              <w:top w:val="nil"/>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3.56</w:t>
            </w:r>
          </w:p>
        </w:tc>
      </w:tr>
      <w:tr w:rsidR="007A7FF4" w:rsidRPr="00210024" w:rsidTr="007A7FF4">
        <w:trPr>
          <w:trHeight w:hRule="exact" w:val="284"/>
          <w:jc w:val="center"/>
        </w:trPr>
        <w:tc>
          <w:tcPr>
            <w:tcW w:w="4054" w:type="dxa"/>
            <w:tcBorders>
              <w:top w:val="nil"/>
              <w:left w:val="nil"/>
              <w:bottom w:val="nil"/>
              <w:right w:val="nil"/>
            </w:tcBorders>
            <w:vAlign w:val="center"/>
          </w:tcPr>
          <w:p w:rsidR="007A7FF4" w:rsidRPr="00210024" w:rsidRDefault="007A7FF4" w:rsidP="00186D70">
            <w:pPr>
              <w:pStyle w:val="NormalWeb"/>
              <w:spacing w:before="0" w:beforeAutospacing="0" w:after="0" w:afterAutospacing="0"/>
              <w:rPr>
                <w:sz w:val="18"/>
                <w:szCs w:val="18"/>
              </w:rPr>
            </w:pPr>
            <w:r w:rsidRPr="00210024">
              <w:rPr>
                <w:sz w:val="18"/>
                <w:szCs w:val="18"/>
              </w:rPr>
              <w:t>Restaurants and cafes</w:t>
            </w:r>
          </w:p>
        </w:tc>
        <w:tc>
          <w:tcPr>
            <w:tcW w:w="1016"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136.88</w:t>
            </w:r>
          </w:p>
        </w:tc>
        <w:tc>
          <w:tcPr>
            <w:tcW w:w="1275"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144.94</w:t>
            </w:r>
          </w:p>
        </w:tc>
        <w:tc>
          <w:tcPr>
            <w:tcW w:w="1134"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5.89</w:t>
            </w:r>
          </w:p>
        </w:tc>
        <w:tc>
          <w:tcPr>
            <w:tcW w:w="1043" w:type="dxa"/>
            <w:tcBorders>
              <w:top w:val="nil"/>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2.18</w:t>
            </w:r>
          </w:p>
        </w:tc>
      </w:tr>
      <w:tr w:rsidR="007A7FF4" w:rsidRPr="00210024" w:rsidTr="007A7FF4">
        <w:trPr>
          <w:trHeight w:hRule="exact" w:val="284"/>
          <w:jc w:val="center"/>
        </w:trPr>
        <w:tc>
          <w:tcPr>
            <w:tcW w:w="4054" w:type="dxa"/>
            <w:tcBorders>
              <w:top w:val="nil"/>
              <w:left w:val="nil"/>
              <w:bottom w:val="nil"/>
              <w:right w:val="nil"/>
            </w:tcBorders>
            <w:vAlign w:val="center"/>
          </w:tcPr>
          <w:p w:rsidR="007A7FF4" w:rsidRPr="00210024" w:rsidRDefault="007A7FF4" w:rsidP="00186D70">
            <w:pPr>
              <w:pStyle w:val="NormalWeb"/>
              <w:spacing w:before="0" w:beforeAutospacing="0" w:after="0" w:afterAutospacing="0"/>
              <w:rPr>
                <w:sz w:val="18"/>
                <w:szCs w:val="18"/>
              </w:rPr>
            </w:pPr>
            <w:r w:rsidRPr="00210024">
              <w:rPr>
                <w:sz w:val="18"/>
                <w:szCs w:val="18"/>
              </w:rPr>
              <w:t>Miscellaneous goods and service</w:t>
            </w:r>
          </w:p>
        </w:tc>
        <w:tc>
          <w:tcPr>
            <w:tcW w:w="1016"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120.10</w:t>
            </w:r>
          </w:p>
        </w:tc>
        <w:tc>
          <w:tcPr>
            <w:tcW w:w="1275"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124.88</w:t>
            </w:r>
          </w:p>
        </w:tc>
        <w:tc>
          <w:tcPr>
            <w:tcW w:w="1134" w:type="dxa"/>
            <w:tcBorders>
              <w:top w:val="nil"/>
              <w:left w:val="nil"/>
              <w:bottom w:val="nil"/>
              <w:right w:val="nil"/>
            </w:tcBorders>
            <w:vAlign w:val="center"/>
          </w:tcPr>
          <w:p w:rsidR="007A7FF4" w:rsidRPr="00210024" w:rsidRDefault="007A7FF4" w:rsidP="00186D70">
            <w:pPr>
              <w:spacing w:after="0"/>
              <w:jc w:val="lowKashida"/>
              <w:rPr>
                <w:rFonts w:ascii="Times New Roman" w:hAnsi="Times New Roman" w:cs="Times New Roman"/>
                <w:sz w:val="18"/>
                <w:szCs w:val="18"/>
              </w:rPr>
            </w:pPr>
            <w:r w:rsidRPr="00210024">
              <w:rPr>
                <w:rFonts w:ascii="Times New Roman" w:hAnsi="Times New Roman" w:cs="Times New Roman"/>
                <w:sz w:val="18"/>
                <w:szCs w:val="18"/>
                <w:rtl/>
              </w:rPr>
              <w:t>3.99</w:t>
            </w:r>
          </w:p>
        </w:tc>
        <w:tc>
          <w:tcPr>
            <w:tcW w:w="1043" w:type="dxa"/>
            <w:tcBorders>
              <w:top w:val="nil"/>
              <w:left w:val="nil"/>
              <w:bottom w:val="nil"/>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5.37</w:t>
            </w:r>
          </w:p>
        </w:tc>
      </w:tr>
      <w:tr w:rsidR="007A7FF4" w:rsidRPr="00210024" w:rsidTr="007A7FF4">
        <w:trPr>
          <w:trHeight w:hRule="exact" w:val="284"/>
          <w:jc w:val="center"/>
        </w:trPr>
        <w:tc>
          <w:tcPr>
            <w:tcW w:w="4054" w:type="dxa"/>
            <w:tcBorders>
              <w:top w:val="nil"/>
              <w:left w:val="nil"/>
              <w:bottom w:val="single" w:sz="12" w:space="0" w:color="auto"/>
              <w:right w:val="nil"/>
            </w:tcBorders>
            <w:vAlign w:val="center"/>
          </w:tcPr>
          <w:p w:rsidR="007A7FF4" w:rsidRPr="00210024" w:rsidRDefault="007A7FF4" w:rsidP="00186D70">
            <w:pPr>
              <w:pStyle w:val="NormalWeb"/>
              <w:spacing w:before="0" w:beforeAutospacing="0" w:after="0" w:afterAutospacing="0"/>
              <w:rPr>
                <w:b/>
                <w:bCs/>
                <w:sz w:val="18"/>
                <w:szCs w:val="18"/>
              </w:rPr>
            </w:pPr>
            <w:r w:rsidRPr="00210024">
              <w:rPr>
                <w:b/>
                <w:bCs/>
                <w:sz w:val="18"/>
                <w:szCs w:val="18"/>
              </w:rPr>
              <w:t>Overall Consumer Price Index</w:t>
            </w:r>
          </w:p>
        </w:tc>
        <w:tc>
          <w:tcPr>
            <w:tcW w:w="1016" w:type="dxa"/>
            <w:tcBorders>
              <w:top w:val="nil"/>
              <w:left w:val="nil"/>
              <w:bottom w:val="single" w:sz="12" w:space="0" w:color="auto"/>
              <w:right w:val="nil"/>
            </w:tcBorders>
            <w:vAlign w:val="center"/>
          </w:tcPr>
          <w:p w:rsidR="007A7FF4" w:rsidRPr="00210024" w:rsidRDefault="007A7FF4" w:rsidP="00186D70">
            <w:pPr>
              <w:spacing w:after="0"/>
              <w:jc w:val="lowKashida"/>
              <w:rPr>
                <w:rFonts w:ascii="Times New Roman" w:hAnsi="Times New Roman" w:cs="Times New Roman"/>
                <w:b/>
                <w:bCs/>
                <w:sz w:val="18"/>
                <w:szCs w:val="18"/>
              </w:rPr>
            </w:pPr>
            <w:r w:rsidRPr="00210024">
              <w:rPr>
                <w:rFonts w:ascii="Times New Roman" w:hAnsi="Times New Roman" w:cs="Times New Roman"/>
                <w:b/>
                <w:bCs/>
                <w:sz w:val="18"/>
                <w:szCs w:val="18"/>
                <w:rtl/>
              </w:rPr>
              <w:t>129.00</w:t>
            </w:r>
          </w:p>
        </w:tc>
        <w:tc>
          <w:tcPr>
            <w:tcW w:w="1275" w:type="dxa"/>
            <w:tcBorders>
              <w:top w:val="nil"/>
              <w:left w:val="nil"/>
              <w:bottom w:val="single" w:sz="12" w:space="0" w:color="auto"/>
              <w:right w:val="nil"/>
            </w:tcBorders>
            <w:vAlign w:val="center"/>
          </w:tcPr>
          <w:p w:rsidR="007A7FF4" w:rsidRPr="00210024" w:rsidRDefault="007A7FF4" w:rsidP="00186D70">
            <w:pPr>
              <w:spacing w:after="0"/>
              <w:jc w:val="lowKashida"/>
              <w:rPr>
                <w:rFonts w:ascii="Times New Roman" w:hAnsi="Times New Roman" w:cs="Times New Roman"/>
                <w:b/>
                <w:bCs/>
                <w:sz w:val="18"/>
                <w:szCs w:val="18"/>
              </w:rPr>
            </w:pPr>
            <w:r w:rsidRPr="00210024">
              <w:rPr>
                <w:rFonts w:ascii="Times New Roman" w:hAnsi="Times New Roman" w:cs="Times New Roman"/>
                <w:b/>
                <w:bCs/>
                <w:sz w:val="18"/>
                <w:szCs w:val="18"/>
                <w:rtl/>
              </w:rPr>
              <w:t>132.71</w:t>
            </w:r>
          </w:p>
        </w:tc>
        <w:tc>
          <w:tcPr>
            <w:tcW w:w="1134" w:type="dxa"/>
            <w:tcBorders>
              <w:top w:val="nil"/>
              <w:left w:val="nil"/>
              <w:bottom w:val="single" w:sz="12" w:space="0" w:color="auto"/>
              <w:right w:val="nil"/>
            </w:tcBorders>
            <w:vAlign w:val="center"/>
          </w:tcPr>
          <w:p w:rsidR="007A7FF4" w:rsidRPr="00210024" w:rsidRDefault="007A7FF4" w:rsidP="00186D70">
            <w:pPr>
              <w:spacing w:after="0"/>
              <w:jc w:val="lowKashida"/>
              <w:rPr>
                <w:rFonts w:ascii="Times New Roman" w:hAnsi="Times New Roman" w:cs="Times New Roman"/>
                <w:b/>
                <w:bCs/>
                <w:sz w:val="18"/>
                <w:szCs w:val="18"/>
              </w:rPr>
            </w:pPr>
            <w:r w:rsidRPr="00210024">
              <w:rPr>
                <w:rFonts w:ascii="Times New Roman" w:hAnsi="Times New Roman" w:cs="Times New Roman"/>
                <w:b/>
                <w:bCs/>
                <w:sz w:val="18"/>
                <w:szCs w:val="18"/>
                <w:rtl/>
              </w:rPr>
              <w:t>2.88</w:t>
            </w:r>
          </w:p>
        </w:tc>
        <w:tc>
          <w:tcPr>
            <w:tcW w:w="1043" w:type="dxa"/>
            <w:tcBorders>
              <w:top w:val="nil"/>
              <w:left w:val="nil"/>
              <w:bottom w:val="single" w:sz="12" w:space="0" w:color="auto"/>
              <w:right w:val="nil"/>
            </w:tcBorders>
            <w:vAlign w:val="center"/>
          </w:tcPr>
          <w:p w:rsidR="007A7FF4" w:rsidRPr="00210024" w:rsidRDefault="007A7FF4" w:rsidP="00FA5ABD">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100.00</w:t>
            </w:r>
          </w:p>
        </w:tc>
      </w:tr>
    </w:tbl>
    <w:p w:rsidR="007A7FF4" w:rsidRPr="00210024" w:rsidRDefault="007A7FF4" w:rsidP="007A7FF4">
      <w:pPr>
        <w:spacing w:after="0"/>
        <w:rPr>
          <w:rFonts w:ascii="Times New Roman" w:hAnsi="Times New Roman" w:cs="Times New Roman"/>
          <w:sz w:val="18"/>
          <w:szCs w:val="18"/>
        </w:rPr>
      </w:pPr>
      <w:r w:rsidRPr="00210024">
        <w:rPr>
          <w:rFonts w:ascii="Times New Roman" w:hAnsi="Times New Roman" w:cs="Times New Roman"/>
          <w:b/>
          <w:bCs/>
        </w:rPr>
        <w:t xml:space="preserve">        *</w:t>
      </w:r>
      <w:r w:rsidRPr="00210024">
        <w:rPr>
          <w:rFonts w:ascii="Times New Roman" w:hAnsi="Times New Roman" w:cs="Times New Roman"/>
          <w:sz w:val="18"/>
          <w:szCs w:val="18"/>
        </w:rPr>
        <w:t>According to relative weight of major groups of consumer prices for 2004</w:t>
      </w:r>
      <w:r w:rsidRPr="00210024">
        <w:rPr>
          <w:rFonts w:ascii="Times New Roman" w:hAnsi="Times New Roman" w:cs="Times New Roman"/>
          <w:sz w:val="18"/>
          <w:szCs w:val="18"/>
        </w:rPr>
        <w:br/>
      </w:r>
    </w:p>
    <w:p w:rsidR="007A7FF4" w:rsidRPr="00210024" w:rsidRDefault="007A7FF4" w:rsidP="007A7FF4">
      <w:pPr>
        <w:spacing w:after="0"/>
        <w:rPr>
          <w:rFonts w:ascii="Times New Roman" w:hAnsi="Times New Roman" w:cs="Times New Roman"/>
          <w:b/>
          <w:bCs/>
          <w:sz w:val="18"/>
          <w:szCs w:val="18"/>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Default="007A7FF4" w:rsidP="007A7FF4">
      <w:pPr>
        <w:spacing w:after="0"/>
        <w:jc w:val="both"/>
        <w:rPr>
          <w:rFonts w:ascii="Times New Roman" w:hAnsi="Times New Roman" w:cs="Times New Roman"/>
        </w:rPr>
      </w:pPr>
    </w:p>
    <w:p w:rsidR="00020161" w:rsidRDefault="00020161" w:rsidP="007A7FF4">
      <w:pPr>
        <w:spacing w:after="0"/>
        <w:jc w:val="both"/>
        <w:rPr>
          <w:rFonts w:ascii="Times New Roman" w:hAnsi="Times New Roman" w:cs="Times New Roman"/>
        </w:rPr>
      </w:pPr>
    </w:p>
    <w:p w:rsidR="00020161" w:rsidRDefault="00020161" w:rsidP="007A7FF4">
      <w:pPr>
        <w:spacing w:after="0"/>
        <w:jc w:val="both"/>
        <w:rPr>
          <w:rFonts w:ascii="Times New Roman" w:hAnsi="Times New Roman" w:cs="Times New Roman"/>
        </w:rPr>
      </w:pPr>
    </w:p>
    <w:p w:rsidR="00EE7F53" w:rsidRDefault="00EE7F53"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E2628E" w:rsidRDefault="00590325" w:rsidP="00BB4C3A">
      <w:pPr>
        <w:spacing w:after="0"/>
        <w:jc w:val="both"/>
        <w:rPr>
          <w:rFonts w:ascii="Times New Roman" w:hAnsi="Times New Roman" w:cs="Times New Roman"/>
          <w:sz w:val="24"/>
          <w:szCs w:val="24"/>
        </w:rPr>
      </w:pPr>
      <w:r w:rsidRPr="00E2628E">
        <w:rPr>
          <w:rFonts w:ascii="Times New Roman" w:hAnsi="Times New Roman" w:cs="Times New Roman"/>
          <w:b/>
          <w:bCs/>
          <w:sz w:val="24"/>
          <w:szCs w:val="24"/>
        </w:rPr>
        <w:lastRenderedPageBreak/>
        <w:t>4</w:t>
      </w:r>
      <w:r w:rsidR="007A7FF4" w:rsidRPr="00E2628E">
        <w:rPr>
          <w:rFonts w:ascii="Times New Roman" w:hAnsi="Times New Roman" w:cs="Times New Roman"/>
          <w:b/>
          <w:bCs/>
          <w:sz w:val="24"/>
          <w:szCs w:val="24"/>
        </w:rPr>
        <w:t xml:space="preserve"> - Poverty</w:t>
      </w:r>
    </w:p>
    <w:p w:rsidR="00B33700" w:rsidRPr="00801667" w:rsidRDefault="007A7FF4" w:rsidP="00B33700">
      <w:pPr>
        <w:pStyle w:val="BodyText3"/>
        <w:spacing w:after="0" w:line="240" w:lineRule="auto"/>
        <w:jc w:val="both"/>
        <w:rPr>
          <w:b/>
          <w:bCs/>
        </w:rPr>
      </w:pPr>
      <w:r w:rsidRPr="00E2628E">
        <w:br/>
      </w:r>
      <w:r w:rsidR="00B33700" w:rsidRPr="00801667">
        <w:rPr>
          <w:b/>
          <w:bCs/>
        </w:rPr>
        <w:t>About 25.7% of persons in the Palestinian Territory suffered from poverty during 2010 (18.3% in the West Bank and 38.0% in the Gaza Strip)</w:t>
      </w:r>
    </w:p>
    <w:p w:rsidR="00B33700" w:rsidRPr="00801667" w:rsidRDefault="00B33700" w:rsidP="00B33700">
      <w:pPr>
        <w:pStyle w:val="BodyText3"/>
        <w:jc w:val="both"/>
        <w:rPr>
          <w:lang w:eastAsia="en-US"/>
        </w:rPr>
      </w:pPr>
      <w:r w:rsidRPr="00801667">
        <w:rPr>
          <w:lang w:eastAsia="en-US"/>
        </w:rPr>
        <w:t>Poverty is considered as one of the important indicators that reflect the performance of the economy.</w:t>
      </w:r>
    </w:p>
    <w:p w:rsidR="00B33700" w:rsidRPr="00801667" w:rsidRDefault="00B33700" w:rsidP="00B33700">
      <w:pPr>
        <w:jc w:val="both"/>
        <w:rPr>
          <w:rFonts w:ascii="Times New Roman" w:hAnsi="Times New Roman" w:cs="Times New Roman"/>
          <w:sz w:val="24"/>
          <w:szCs w:val="24"/>
        </w:rPr>
      </w:pPr>
      <w:r w:rsidRPr="00801667">
        <w:rPr>
          <w:rFonts w:ascii="Times New Roman" w:hAnsi="Times New Roman" w:cs="Times New Roman"/>
          <w:sz w:val="24"/>
          <w:szCs w:val="24"/>
        </w:rPr>
        <w:t xml:space="preserve">Slightly more than one out of four Individuals (25.7%) were living below poverty line in 2010, (18.3% in the West Bank and 38.0% in Gaza Strip). This is similar to the corresponding rate of nearly 26.2% in 2009, (19.4% in the West Bank and 38.3% in Gaza Strip). About 14.1% of individuals were living below the deep poverty line in 2010 (8.8% in the West Bank and 23.0% in Gaza Strip). </w:t>
      </w:r>
    </w:p>
    <w:p w:rsidR="00B33700" w:rsidRPr="00801667" w:rsidRDefault="00B33700" w:rsidP="00B33700">
      <w:pPr>
        <w:pStyle w:val="BodyText3"/>
        <w:jc w:val="left"/>
        <w:rPr>
          <w:sz w:val="22"/>
          <w:szCs w:val="22"/>
        </w:rPr>
      </w:pPr>
    </w:p>
    <w:tbl>
      <w:tblPr>
        <w:bidiVisual/>
        <w:tblW w:w="10260"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7"/>
        <w:gridCol w:w="4953"/>
      </w:tblGrid>
      <w:tr w:rsidR="00B33700" w:rsidRPr="00801667" w:rsidTr="00E63909">
        <w:trPr>
          <w:trHeight w:val="4942"/>
        </w:trPr>
        <w:tc>
          <w:tcPr>
            <w:tcW w:w="5307" w:type="dxa"/>
            <w:tcBorders>
              <w:top w:val="nil"/>
              <w:left w:val="nil"/>
              <w:bottom w:val="nil"/>
              <w:right w:val="nil"/>
            </w:tcBorders>
          </w:tcPr>
          <w:p w:rsidR="00B33700" w:rsidRPr="00801667" w:rsidRDefault="00B33700" w:rsidP="00DA653C">
            <w:pPr>
              <w:jc w:val="center"/>
              <w:rPr>
                <w:rFonts w:ascii="Times New Roman" w:hAnsi="Times New Roman" w:cs="Times New Roman"/>
                <w:rtl/>
                <w:lang w:val="en-GB"/>
              </w:rPr>
            </w:pPr>
            <w:r w:rsidRPr="00801667">
              <w:rPr>
                <w:rFonts w:ascii="Times New Roman" w:hAnsi="Times New Roman" w:cs="Times New Roman"/>
                <w:b/>
                <w:bCs/>
              </w:rPr>
              <w:t xml:space="preserve">Figure </w:t>
            </w:r>
            <w:r w:rsidR="00DA653C">
              <w:rPr>
                <w:rFonts w:ascii="Times New Roman" w:hAnsi="Times New Roman" w:cs="Times New Roman"/>
                <w:b/>
                <w:bCs/>
              </w:rPr>
              <w:t>12</w:t>
            </w:r>
            <w:r w:rsidRPr="00801667">
              <w:rPr>
                <w:rFonts w:ascii="Times New Roman" w:hAnsi="Times New Roman" w:cs="Times New Roman"/>
                <w:b/>
                <w:bCs/>
              </w:rPr>
              <w:t>:</w:t>
            </w:r>
            <w:r w:rsidR="00DA653C">
              <w:rPr>
                <w:rFonts w:ascii="Times New Roman" w:hAnsi="Times New Roman" w:cs="Times New Roman"/>
                <w:b/>
                <w:bCs/>
              </w:rPr>
              <w:t xml:space="preserve"> </w:t>
            </w:r>
            <w:r w:rsidRPr="00801667">
              <w:rPr>
                <w:rFonts w:ascii="Times New Roman" w:hAnsi="Times New Roman" w:cs="Times New Roman"/>
                <w:b/>
                <w:bCs/>
              </w:rPr>
              <w:t xml:space="preserve">Poverty and deep poverty in the West Bank, </w:t>
            </w:r>
            <w:r w:rsidR="0029250C">
              <w:rPr>
                <w:rFonts w:ascii="Times New Roman" w:hAnsi="Times New Roman" w:cs="Times New Roman"/>
                <w:b/>
                <w:bCs/>
              </w:rPr>
              <w:t>(</w:t>
            </w:r>
            <w:r w:rsidRPr="00801667">
              <w:rPr>
                <w:rFonts w:ascii="Times New Roman" w:hAnsi="Times New Roman" w:cs="Times New Roman"/>
                <w:b/>
                <w:bCs/>
              </w:rPr>
              <w:t>2009-2010</w:t>
            </w:r>
            <w:r w:rsidR="0029250C">
              <w:rPr>
                <w:rFonts w:ascii="Times New Roman" w:hAnsi="Times New Roman" w:cs="Times New Roman"/>
                <w:b/>
                <w:bCs/>
              </w:rPr>
              <w:t>)</w:t>
            </w:r>
            <w:r w:rsidRPr="00801667">
              <w:rPr>
                <w:rFonts w:ascii="Times New Roman" w:hAnsi="Times New Roman" w:cs="Times New Roman"/>
                <w:noProof/>
              </w:rPr>
              <w:drawing>
                <wp:inline distT="0" distB="0" distL="0" distR="0">
                  <wp:extent cx="2924175" cy="2676525"/>
                  <wp:effectExtent l="19050" t="0" r="9525" b="0"/>
                  <wp:docPr id="23"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4953" w:type="dxa"/>
            <w:tcBorders>
              <w:top w:val="nil"/>
              <w:left w:val="nil"/>
              <w:bottom w:val="nil"/>
              <w:right w:val="nil"/>
            </w:tcBorders>
            <w:vAlign w:val="center"/>
          </w:tcPr>
          <w:p w:rsidR="00B33700" w:rsidRPr="00801667" w:rsidRDefault="00B33700" w:rsidP="00DA653C">
            <w:pPr>
              <w:jc w:val="center"/>
              <w:rPr>
                <w:rFonts w:ascii="Times New Roman" w:hAnsi="Times New Roman" w:cs="Times New Roman"/>
                <w:rtl/>
                <w:lang w:val="en-GB"/>
              </w:rPr>
            </w:pPr>
            <w:r w:rsidRPr="00801667">
              <w:rPr>
                <w:rFonts w:ascii="Times New Roman" w:hAnsi="Times New Roman" w:cs="Times New Roman"/>
                <w:b/>
                <w:bCs/>
              </w:rPr>
              <w:t xml:space="preserve">Figure </w:t>
            </w:r>
            <w:r w:rsidR="00DA653C">
              <w:rPr>
                <w:rFonts w:ascii="Times New Roman" w:hAnsi="Times New Roman" w:cs="Times New Roman"/>
                <w:b/>
                <w:bCs/>
              </w:rPr>
              <w:t>11</w:t>
            </w:r>
            <w:r w:rsidRPr="00801667">
              <w:rPr>
                <w:rFonts w:ascii="Times New Roman" w:hAnsi="Times New Roman" w:cs="Times New Roman"/>
                <w:b/>
                <w:bCs/>
              </w:rPr>
              <w:t>:</w:t>
            </w:r>
            <w:r w:rsidR="00DA653C">
              <w:rPr>
                <w:rFonts w:ascii="Times New Roman" w:hAnsi="Times New Roman" w:cs="Times New Roman"/>
                <w:b/>
                <w:bCs/>
              </w:rPr>
              <w:t xml:space="preserve"> </w:t>
            </w:r>
            <w:r w:rsidRPr="00801667">
              <w:rPr>
                <w:rFonts w:ascii="Times New Roman" w:hAnsi="Times New Roman" w:cs="Times New Roman"/>
                <w:b/>
                <w:bCs/>
              </w:rPr>
              <w:t xml:space="preserve">Poverty and deep poverty in Gaza Strip, </w:t>
            </w:r>
            <w:r w:rsidR="0029250C">
              <w:rPr>
                <w:rFonts w:ascii="Times New Roman" w:hAnsi="Times New Roman" w:cs="Times New Roman"/>
                <w:b/>
                <w:bCs/>
              </w:rPr>
              <w:t>(</w:t>
            </w:r>
            <w:r w:rsidRPr="00801667">
              <w:rPr>
                <w:rFonts w:ascii="Times New Roman" w:hAnsi="Times New Roman" w:cs="Times New Roman"/>
                <w:b/>
                <w:bCs/>
              </w:rPr>
              <w:t>2009-2010</w:t>
            </w:r>
            <w:r w:rsidR="0029250C">
              <w:rPr>
                <w:rFonts w:ascii="Times New Roman" w:hAnsi="Times New Roman" w:cs="Times New Roman"/>
                <w:b/>
                <w:bCs/>
              </w:rPr>
              <w:t>)</w:t>
            </w:r>
            <w:r w:rsidRPr="00801667">
              <w:rPr>
                <w:rFonts w:ascii="Times New Roman" w:hAnsi="Times New Roman" w:cs="Times New Roman"/>
                <w:noProof/>
              </w:rPr>
              <w:drawing>
                <wp:inline distT="0" distB="0" distL="0" distR="0">
                  <wp:extent cx="2971800" cy="2676525"/>
                  <wp:effectExtent l="19050" t="0" r="19050" b="0"/>
                  <wp:docPr id="24"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33700" w:rsidRPr="00801667" w:rsidRDefault="00B33700" w:rsidP="00E63909">
            <w:pPr>
              <w:rPr>
                <w:rFonts w:ascii="Times New Roman" w:hAnsi="Times New Roman" w:cs="Times New Roman"/>
                <w:rtl/>
                <w:lang w:val="en-GB"/>
              </w:rPr>
            </w:pPr>
          </w:p>
        </w:tc>
      </w:tr>
    </w:tbl>
    <w:p w:rsidR="00B33700" w:rsidRPr="00801667" w:rsidRDefault="00B33700" w:rsidP="00B33700">
      <w:pPr>
        <w:pStyle w:val="BodyText3"/>
        <w:jc w:val="left"/>
        <w:rPr>
          <w:b/>
          <w:bCs/>
        </w:rPr>
      </w:pPr>
      <w:r w:rsidRPr="00801667">
        <w:rPr>
          <w:b/>
          <w:bCs/>
        </w:rPr>
        <w:t>Impact of assistance provided to households on poverty rate</w:t>
      </w:r>
    </w:p>
    <w:p w:rsidR="00B33700" w:rsidRPr="00801667" w:rsidRDefault="00B33700" w:rsidP="00B33700">
      <w:pPr>
        <w:jc w:val="both"/>
        <w:rPr>
          <w:rFonts w:ascii="Times New Roman" w:hAnsi="Times New Roman" w:cs="Times New Roman"/>
          <w:sz w:val="24"/>
          <w:szCs w:val="24"/>
        </w:rPr>
      </w:pPr>
      <w:r w:rsidRPr="00801667">
        <w:rPr>
          <w:rFonts w:ascii="Times New Roman" w:hAnsi="Times New Roman" w:cs="Times New Roman"/>
          <w:sz w:val="24"/>
          <w:szCs w:val="24"/>
        </w:rPr>
        <w:t xml:space="preserve">Social Assistance for households reduced poverty among Palestinian households by 16.8% in the Palestinian Territory in 2010, ( 10.7% in West Bank and 21.2% in Gaza Strip).   While in 2009, assistance for households reduced poverty among Palestinian households by 17.9% in the Palestinian Territory, (12.6% in West Bank and 22.1% in Gaza Strip). </w:t>
      </w:r>
    </w:p>
    <w:p w:rsidR="00B33700" w:rsidRPr="00801667" w:rsidRDefault="00B33700" w:rsidP="00B33700">
      <w:pPr>
        <w:pStyle w:val="BodyText3"/>
        <w:jc w:val="left"/>
        <w:rPr>
          <w:b/>
          <w:bCs/>
        </w:rPr>
      </w:pPr>
    </w:p>
    <w:p w:rsidR="00B33700" w:rsidRDefault="00B33700" w:rsidP="00B33700">
      <w:pPr>
        <w:pStyle w:val="BodyText3"/>
        <w:jc w:val="left"/>
        <w:rPr>
          <w:b/>
          <w:bCs/>
        </w:rPr>
      </w:pPr>
    </w:p>
    <w:p w:rsidR="00BB4C3A" w:rsidRDefault="00BB4C3A" w:rsidP="00B33700">
      <w:pPr>
        <w:pStyle w:val="BodyText3"/>
        <w:spacing w:after="0" w:line="240" w:lineRule="auto"/>
        <w:jc w:val="left"/>
        <w:rPr>
          <w:b/>
          <w:bCs/>
          <w:lang w:eastAsia="en-US"/>
        </w:rPr>
      </w:pPr>
    </w:p>
    <w:p w:rsidR="00BB4C3A" w:rsidRDefault="00BB4C3A" w:rsidP="00B33700">
      <w:pPr>
        <w:pStyle w:val="BodyText3"/>
        <w:spacing w:after="0" w:line="240" w:lineRule="auto"/>
        <w:jc w:val="left"/>
        <w:rPr>
          <w:b/>
          <w:bCs/>
          <w:lang w:eastAsia="en-US"/>
        </w:rPr>
      </w:pPr>
    </w:p>
    <w:p w:rsidR="00EE7F53" w:rsidRDefault="00EE7F53" w:rsidP="00B33700">
      <w:pPr>
        <w:pStyle w:val="BodyText3"/>
        <w:spacing w:after="0" w:line="240" w:lineRule="auto"/>
        <w:jc w:val="left"/>
        <w:rPr>
          <w:b/>
          <w:bCs/>
          <w:lang w:eastAsia="en-US"/>
        </w:rPr>
      </w:pPr>
    </w:p>
    <w:p w:rsidR="00BB4C3A" w:rsidRDefault="00BB4C3A" w:rsidP="00B33700">
      <w:pPr>
        <w:pStyle w:val="BodyText3"/>
        <w:spacing w:after="0" w:line="240" w:lineRule="auto"/>
        <w:jc w:val="left"/>
        <w:rPr>
          <w:b/>
          <w:bCs/>
          <w:lang w:eastAsia="en-US"/>
        </w:rPr>
      </w:pPr>
    </w:p>
    <w:p w:rsidR="00B33700" w:rsidRPr="00801667" w:rsidRDefault="00B33700" w:rsidP="00B33700">
      <w:pPr>
        <w:pStyle w:val="BodyText3"/>
        <w:spacing w:after="0" w:line="240" w:lineRule="auto"/>
        <w:jc w:val="left"/>
        <w:rPr>
          <w:b/>
          <w:bCs/>
        </w:rPr>
      </w:pPr>
      <w:r w:rsidRPr="00801667">
        <w:rPr>
          <w:b/>
          <w:bCs/>
        </w:rPr>
        <w:lastRenderedPageBreak/>
        <w:t>Poor households are poorer in the Gaza Strip compared to West Bank</w:t>
      </w:r>
    </w:p>
    <w:p w:rsidR="00B33700" w:rsidRPr="00801667" w:rsidRDefault="00B33700" w:rsidP="00B33700">
      <w:pPr>
        <w:spacing w:after="0" w:line="240" w:lineRule="auto"/>
        <w:jc w:val="both"/>
        <w:rPr>
          <w:rFonts w:ascii="Times New Roman" w:hAnsi="Times New Roman" w:cs="Times New Roman"/>
          <w:sz w:val="24"/>
          <w:szCs w:val="24"/>
        </w:rPr>
      </w:pPr>
      <w:r w:rsidRPr="00801667">
        <w:rPr>
          <w:rFonts w:ascii="Times New Roman" w:hAnsi="Times New Roman" w:cs="Times New Roman"/>
          <w:sz w:val="24"/>
          <w:szCs w:val="24"/>
        </w:rPr>
        <w:t xml:space="preserve">Poor households in Gaza Strip are poorer than the households in the West Bank.  This is shown through the results presented from poverty indicators such as poverty rates, poverty gap. The poverty gap gives the </w:t>
      </w:r>
      <w:r w:rsidR="009F03B1" w:rsidRPr="00801667">
        <w:rPr>
          <w:rFonts w:ascii="Times New Roman" w:hAnsi="Times New Roman" w:cs="Times New Roman"/>
          <w:sz w:val="24"/>
          <w:szCs w:val="24"/>
        </w:rPr>
        <w:t>percentage by</w:t>
      </w:r>
      <w:r w:rsidRPr="00801667">
        <w:rPr>
          <w:rFonts w:ascii="Times New Roman" w:hAnsi="Times New Roman" w:cs="Times New Roman"/>
          <w:sz w:val="24"/>
          <w:szCs w:val="24"/>
        </w:rPr>
        <w:t xml:space="preserve"> which the average consumption of the poor is below the poverty line. The conditions of the poor had worsened in 2010 compared to 2009.</w:t>
      </w:r>
    </w:p>
    <w:p w:rsidR="00B33700" w:rsidRPr="00801667" w:rsidRDefault="00B33700" w:rsidP="00B33700">
      <w:pPr>
        <w:spacing w:after="0" w:line="240" w:lineRule="auto"/>
        <w:jc w:val="both"/>
        <w:rPr>
          <w:rFonts w:ascii="Times New Roman" w:hAnsi="Times New Roman" w:cs="Times New Roman"/>
          <w:sz w:val="24"/>
          <w:szCs w:val="24"/>
          <w:rtl/>
        </w:rPr>
      </w:pPr>
    </w:p>
    <w:p w:rsidR="00B33700" w:rsidRPr="00801667" w:rsidRDefault="00B33700" w:rsidP="00F22A25">
      <w:pPr>
        <w:pStyle w:val="BodyText3"/>
        <w:jc w:val="center"/>
        <w:rPr>
          <w:b/>
          <w:bCs/>
          <w:lang w:eastAsia="en-US"/>
        </w:rPr>
      </w:pPr>
      <w:r w:rsidRPr="00801667">
        <w:rPr>
          <w:b/>
          <w:bCs/>
          <w:lang w:eastAsia="en-US"/>
        </w:rPr>
        <w:t xml:space="preserve">Table </w:t>
      </w:r>
      <w:r w:rsidR="00F22A25">
        <w:rPr>
          <w:b/>
          <w:bCs/>
          <w:lang w:eastAsia="en-US"/>
        </w:rPr>
        <w:t>6</w:t>
      </w:r>
      <w:r w:rsidRPr="00801667">
        <w:rPr>
          <w:b/>
          <w:bCs/>
          <w:lang w:eastAsia="en-US"/>
        </w:rPr>
        <w:t>: Poverty gap and severity by region, 2009-2010</w:t>
      </w:r>
    </w:p>
    <w:tbl>
      <w:tblPr>
        <w:tblW w:w="0" w:type="dxa"/>
        <w:jc w:val="center"/>
        <w:tblBorders>
          <w:top w:val="single" w:sz="12" w:space="0" w:color="auto"/>
          <w:bottom w:val="single" w:sz="12" w:space="0" w:color="auto"/>
        </w:tblBorders>
        <w:tblLayout w:type="fixed"/>
        <w:tblLook w:val="04A0"/>
      </w:tblPr>
      <w:tblGrid>
        <w:gridCol w:w="2235"/>
        <w:gridCol w:w="1275"/>
        <w:gridCol w:w="1134"/>
        <w:gridCol w:w="993"/>
        <w:gridCol w:w="992"/>
        <w:gridCol w:w="850"/>
        <w:gridCol w:w="1043"/>
      </w:tblGrid>
      <w:tr w:rsidR="00B33700" w:rsidRPr="00801667" w:rsidTr="0098712C">
        <w:trPr>
          <w:cantSplit/>
          <w:trHeight w:hRule="exact" w:val="227"/>
          <w:jc w:val="center"/>
        </w:trPr>
        <w:tc>
          <w:tcPr>
            <w:tcW w:w="2235" w:type="dxa"/>
            <w:vMerge w:val="restart"/>
            <w:tcBorders>
              <w:top w:val="single" w:sz="12" w:space="0" w:color="auto"/>
              <w:bottom w:val="single" w:sz="12" w:space="0" w:color="auto"/>
            </w:tcBorders>
          </w:tcPr>
          <w:p w:rsidR="00B33700" w:rsidRPr="002E4421" w:rsidRDefault="00B33700" w:rsidP="00E63909">
            <w:pPr>
              <w:pStyle w:val="BodyText3"/>
              <w:jc w:val="left"/>
              <w:rPr>
                <w:rFonts w:ascii="Arial" w:hAnsi="Arial" w:cs="Arial"/>
                <w:b/>
                <w:bCs/>
                <w:sz w:val="18"/>
                <w:szCs w:val="18"/>
                <w:lang w:eastAsia="en-US"/>
              </w:rPr>
            </w:pPr>
          </w:p>
        </w:tc>
        <w:tc>
          <w:tcPr>
            <w:tcW w:w="2409" w:type="dxa"/>
            <w:gridSpan w:val="2"/>
            <w:tcBorders>
              <w:top w:val="single" w:sz="12" w:space="0" w:color="auto"/>
              <w:bottom w:val="nil"/>
            </w:tcBorders>
            <w:vAlign w:val="center"/>
          </w:tcPr>
          <w:p w:rsidR="00B33700" w:rsidRPr="002E4421" w:rsidRDefault="00B33700" w:rsidP="00E63909">
            <w:pPr>
              <w:pStyle w:val="BodyText3"/>
              <w:jc w:val="center"/>
              <w:rPr>
                <w:rFonts w:ascii="Arial" w:hAnsi="Arial" w:cs="Arial"/>
                <w:b/>
                <w:bCs/>
                <w:sz w:val="18"/>
                <w:szCs w:val="18"/>
                <w:lang w:eastAsia="en-US"/>
              </w:rPr>
            </w:pPr>
            <w:r w:rsidRPr="002E4421">
              <w:rPr>
                <w:rFonts w:ascii="Arial" w:hAnsi="Arial" w:cs="Arial"/>
                <w:b/>
                <w:bCs/>
                <w:sz w:val="18"/>
                <w:szCs w:val="18"/>
                <w:lang w:eastAsia="en-US"/>
              </w:rPr>
              <w:t>Palestinian Territory</w:t>
            </w:r>
          </w:p>
        </w:tc>
        <w:tc>
          <w:tcPr>
            <w:tcW w:w="1985" w:type="dxa"/>
            <w:gridSpan w:val="2"/>
            <w:tcBorders>
              <w:top w:val="single" w:sz="12" w:space="0" w:color="auto"/>
              <w:bottom w:val="nil"/>
            </w:tcBorders>
            <w:vAlign w:val="center"/>
          </w:tcPr>
          <w:p w:rsidR="00B33700" w:rsidRPr="002E4421" w:rsidRDefault="00B33700" w:rsidP="00E63909">
            <w:pPr>
              <w:pStyle w:val="BodyText3"/>
              <w:jc w:val="center"/>
              <w:rPr>
                <w:rFonts w:ascii="Arial" w:hAnsi="Arial" w:cs="Arial"/>
                <w:b/>
                <w:bCs/>
                <w:sz w:val="18"/>
                <w:szCs w:val="18"/>
                <w:lang w:eastAsia="en-US"/>
              </w:rPr>
            </w:pPr>
            <w:r w:rsidRPr="002E4421">
              <w:rPr>
                <w:rFonts w:ascii="Arial" w:hAnsi="Arial" w:cs="Arial"/>
                <w:b/>
                <w:bCs/>
                <w:sz w:val="18"/>
                <w:szCs w:val="18"/>
                <w:lang w:eastAsia="en-US"/>
              </w:rPr>
              <w:t>West Bank</w:t>
            </w:r>
          </w:p>
        </w:tc>
        <w:tc>
          <w:tcPr>
            <w:tcW w:w="1893" w:type="dxa"/>
            <w:gridSpan w:val="2"/>
            <w:tcBorders>
              <w:top w:val="single" w:sz="12" w:space="0" w:color="auto"/>
              <w:bottom w:val="nil"/>
            </w:tcBorders>
            <w:vAlign w:val="center"/>
          </w:tcPr>
          <w:p w:rsidR="00B33700" w:rsidRPr="002E4421" w:rsidRDefault="00B33700" w:rsidP="00E63909">
            <w:pPr>
              <w:pStyle w:val="BodyText3"/>
              <w:jc w:val="center"/>
              <w:rPr>
                <w:rFonts w:ascii="Arial" w:hAnsi="Arial" w:cs="Arial"/>
                <w:b/>
                <w:bCs/>
                <w:sz w:val="18"/>
                <w:szCs w:val="18"/>
                <w:lang w:eastAsia="en-US"/>
              </w:rPr>
            </w:pPr>
            <w:r w:rsidRPr="002E4421">
              <w:rPr>
                <w:rFonts w:ascii="Arial" w:hAnsi="Arial" w:cs="Arial"/>
                <w:b/>
                <w:bCs/>
                <w:sz w:val="18"/>
                <w:szCs w:val="18"/>
                <w:lang w:eastAsia="en-US"/>
              </w:rPr>
              <w:t>Gaza Strip</w:t>
            </w:r>
          </w:p>
        </w:tc>
      </w:tr>
      <w:tr w:rsidR="00B33700" w:rsidRPr="00801667" w:rsidTr="0098712C">
        <w:trPr>
          <w:cantSplit/>
          <w:trHeight w:hRule="exact" w:val="227"/>
          <w:jc w:val="center"/>
        </w:trPr>
        <w:tc>
          <w:tcPr>
            <w:tcW w:w="2235" w:type="dxa"/>
            <w:vMerge/>
            <w:tcBorders>
              <w:top w:val="nil"/>
              <w:bottom w:val="single" w:sz="12" w:space="0" w:color="auto"/>
            </w:tcBorders>
          </w:tcPr>
          <w:p w:rsidR="00B33700" w:rsidRPr="002E4421" w:rsidRDefault="00B33700" w:rsidP="00E63909">
            <w:pPr>
              <w:pStyle w:val="BodyText3"/>
              <w:jc w:val="left"/>
              <w:rPr>
                <w:rFonts w:ascii="Arial" w:hAnsi="Arial" w:cs="Arial"/>
                <w:b/>
                <w:bCs/>
                <w:sz w:val="18"/>
                <w:szCs w:val="18"/>
                <w:lang w:eastAsia="en-US"/>
              </w:rPr>
            </w:pPr>
          </w:p>
        </w:tc>
        <w:tc>
          <w:tcPr>
            <w:tcW w:w="1275" w:type="dxa"/>
            <w:tcBorders>
              <w:top w:val="nil"/>
              <w:bottom w:val="single" w:sz="12" w:space="0" w:color="auto"/>
            </w:tcBorders>
          </w:tcPr>
          <w:p w:rsidR="00B33700" w:rsidRPr="002E4421" w:rsidRDefault="00B33700" w:rsidP="00E63909">
            <w:pPr>
              <w:pStyle w:val="BodyText3"/>
              <w:jc w:val="center"/>
              <w:rPr>
                <w:rFonts w:ascii="Arial" w:hAnsi="Arial" w:cs="Arial"/>
                <w:b/>
                <w:bCs/>
                <w:sz w:val="18"/>
                <w:szCs w:val="18"/>
                <w:lang w:eastAsia="en-US"/>
              </w:rPr>
            </w:pPr>
            <w:r w:rsidRPr="002E4421">
              <w:rPr>
                <w:rFonts w:ascii="Arial" w:hAnsi="Arial" w:cs="Arial"/>
                <w:b/>
                <w:bCs/>
                <w:sz w:val="18"/>
                <w:szCs w:val="18"/>
                <w:lang w:eastAsia="en-US"/>
              </w:rPr>
              <w:t>2009</w:t>
            </w:r>
          </w:p>
        </w:tc>
        <w:tc>
          <w:tcPr>
            <w:tcW w:w="1134" w:type="dxa"/>
            <w:tcBorders>
              <w:top w:val="nil"/>
              <w:bottom w:val="single" w:sz="12" w:space="0" w:color="auto"/>
            </w:tcBorders>
          </w:tcPr>
          <w:p w:rsidR="00B33700" w:rsidRPr="002E4421" w:rsidRDefault="00B33700" w:rsidP="00E63909">
            <w:pPr>
              <w:pStyle w:val="BodyText3"/>
              <w:jc w:val="center"/>
              <w:rPr>
                <w:rFonts w:ascii="Arial" w:hAnsi="Arial" w:cs="Arial"/>
                <w:b/>
                <w:bCs/>
                <w:sz w:val="18"/>
                <w:szCs w:val="18"/>
                <w:lang w:eastAsia="en-US"/>
              </w:rPr>
            </w:pPr>
            <w:r w:rsidRPr="002E4421">
              <w:rPr>
                <w:rFonts w:ascii="Arial" w:hAnsi="Arial" w:cs="Arial"/>
                <w:b/>
                <w:bCs/>
                <w:sz w:val="18"/>
                <w:szCs w:val="18"/>
                <w:lang w:eastAsia="en-US"/>
              </w:rPr>
              <w:t>2010</w:t>
            </w:r>
          </w:p>
        </w:tc>
        <w:tc>
          <w:tcPr>
            <w:tcW w:w="993" w:type="dxa"/>
            <w:tcBorders>
              <w:top w:val="nil"/>
              <w:bottom w:val="single" w:sz="12" w:space="0" w:color="auto"/>
            </w:tcBorders>
          </w:tcPr>
          <w:p w:rsidR="00B33700" w:rsidRPr="002E4421" w:rsidRDefault="00B33700" w:rsidP="00E63909">
            <w:pPr>
              <w:pStyle w:val="BodyText3"/>
              <w:jc w:val="center"/>
              <w:rPr>
                <w:rFonts w:ascii="Arial" w:hAnsi="Arial" w:cs="Arial"/>
                <w:b/>
                <w:bCs/>
                <w:sz w:val="18"/>
                <w:szCs w:val="18"/>
                <w:lang w:eastAsia="en-US"/>
              </w:rPr>
            </w:pPr>
            <w:r w:rsidRPr="002E4421">
              <w:rPr>
                <w:rFonts w:ascii="Arial" w:hAnsi="Arial" w:cs="Arial"/>
                <w:b/>
                <w:bCs/>
                <w:sz w:val="18"/>
                <w:szCs w:val="18"/>
                <w:lang w:eastAsia="en-US"/>
              </w:rPr>
              <w:t>2009</w:t>
            </w:r>
          </w:p>
        </w:tc>
        <w:tc>
          <w:tcPr>
            <w:tcW w:w="992" w:type="dxa"/>
            <w:tcBorders>
              <w:top w:val="nil"/>
              <w:bottom w:val="single" w:sz="12" w:space="0" w:color="auto"/>
            </w:tcBorders>
          </w:tcPr>
          <w:p w:rsidR="00B33700" w:rsidRPr="002E4421" w:rsidRDefault="00B33700" w:rsidP="00E63909">
            <w:pPr>
              <w:pStyle w:val="BodyText3"/>
              <w:jc w:val="center"/>
              <w:rPr>
                <w:rFonts w:ascii="Arial" w:hAnsi="Arial" w:cs="Arial"/>
                <w:b/>
                <w:bCs/>
                <w:sz w:val="18"/>
                <w:szCs w:val="18"/>
                <w:lang w:eastAsia="en-US"/>
              </w:rPr>
            </w:pPr>
            <w:r w:rsidRPr="002E4421">
              <w:rPr>
                <w:rFonts w:ascii="Arial" w:hAnsi="Arial" w:cs="Arial"/>
                <w:b/>
                <w:bCs/>
                <w:sz w:val="18"/>
                <w:szCs w:val="18"/>
                <w:lang w:eastAsia="en-US"/>
              </w:rPr>
              <w:t>2010</w:t>
            </w:r>
          </w:p>
        </w:tc>
        <w:tc>
          <w:tcPr>
            <w:tcW w:w="850" w:type="dxa"/>
            <w:tcBorders>
              <w:top w:val="nil"/>
              <w:bottom w:val="single" w:sz="12" w:space="0" w:color="auto"/>
            </w:tcBorders>
          </w:tcPr>
          <w:p w:rsidR="00B33700" w:rsidRPr="002E4421" w:rsidRDefault="00B33700" w:rsidP="00E63909">
            <w:pPr>
              <w:pStyle w:val="BodyText3"/>
              <w:jc w:val="center"/>
              <w:rPr>
                <w:rFonts w:ascii="Arial" w:hAnsi="Arial" w:cs="Arial"/>
                <w:b/>
                <w:bCs/>
                <w:sz w:val="18"/>
                <w:szCs w:val="18"/>
                <w:lang w:eastAsia="en-US"/>
              </w:rPr>
            </w:pPr>
            <w:r w:rsidRPr="002E4421">
              <w:rPr>
                <w:rFonts w:ascii="Arial" w:hAnsi="Arial" w:cs="Arial"/>
                <w:b/>
                <w:bCs/>
                <w:sz w:val="18"/>
                <w:szCs w:val="18"/>
                <w:lang w:eastAsia="en-US"/>
              </w:rPr>
              <w:t>2009</w:t>
            </w:r>
          </w:p>
        </w:tc>
        <w:tc>
          <w:tcPr>
            <w:tcW w:w="1043" w:type="dxa"/>
            <w:tcBorders>
              <w:top w:val="nil"/>
              <w:bottom w:val="single" w:sz="12" w:space="0" w:color="auto"/>
            </w:tcBorders>
          </w:tcPr>
          <w:p w:rsidR="00B33700" w:rsidRPr="002E4421" w:rsidRDefault="00B33700" w:rsidP="00E63909">
            <w:pPr>
              <w:pStyle w:val="BodyText3"/>
              <w:jc w:val="center"/>
              <w:rPr>
                <w:rFonts w:ascii="Arial" w:hAnsi="Arial" w:cs="Arial"/>
                <w:b/>
                <w:bCs/>
                <w:sz w:val="18"/>
                <w:szCs w:val="18"/>
                <w:lang w:eastAsia="en-US"/>
              </w:rPr>
            </w:pPr>
            <w:r w:rsidRPr="002E4421">
              <w:rPr>
                <w:rFonts w:ascii="Arial" w:hAnsi="Arial" w:cs="Arial"/>
                <w:b/>
                <w:bCs/>
                <w:sz w:val="18"/>
                <w:szCs w:val="18"/>
                <w:lang w:eastAsia="en-US"/>
              </w:rPr>
              <w:t>2010</w:t>
            </w:r>
          </w:p>
        </w:tc>
      </w:tr>
      <w:tr w:rsidR="00B33700" w:rsidRPr="00801667" w:rsidTr="0098712C">
        <w:trPr>
          <w:trHeight w:hRule="exact" w:val="227"/>
          <w:jc w:val="center"/>
        </w:trPr>
        <w:tc>
          <w:tcPr>
            <w:tcW w:w="2235" w:type="dxa"/>
            <w:tcBorders>
              <w:top w:val="single" w:sz="12" w:space="0" w:color="auto"/>
            </w:tcBorders>
          </w:tcPr>
          <w:p w:rsidR="00B33700" w:rsidRPr="002E4421" w:rsidRDefault="00B33700" w:rsidP="00E63909">
            <w:pPr>
              <w:pStyle w:val="BodyText3"/>
              <w:jc w:val="left"/>
              <w:rPr>
                <w:rFonts w:ascii="Arial" w:hAnsi="Arial" w:cs="Arial"/>
                <w:sz w:val="18"/>
                <w:szCs w:val="18"/>
                <w:lang w:eastAsia="en-US"/>
              </w:rPr>
            </w:pPr>
            <w:r w:rsidRPr="002E4421">
              <w:rPr>
                <w:rFonts w:ascii="Arial" w:hAnsi="Arial" w:cs="Arial"/>
                <w:sz w:val="18"/>
                <w:szCs w:val="18"/>
                <w:lang w:eastAsia="en-US"/>
              </w:rPr>
              <w:t>Poverty gap</w:t>
            </w:r>
          </w:p>
        </w:tc>
        <w:tc>
          <w:tcPr>
            <w:tcW w:w="1275" w:type="dxa"/>
            <w:tcBorders>
              <w:top w:val="single" w:sz="12" w:space="0" w:color="auto"/>
            </w:tcBorders>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6.3</w:t>
            </w:r>
          </w:p>
        </w:tc>
        <w:tc>
          <w:tcPr>
            <w:tcW w:w="1134" w:type="dxa"/>
            <w:tcBorders>
              <w:top w:val="single" w:sz="12" w:space="0" w:color="auto"/>
            </w:tcBorders>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6.4</w:t>
            </w:r>
          </w:p>
        </w:tc>
        <w:tc>
          <w:tcPr>
            <w:tcW w:w="993" w:type="dxa"/>
            <w:tcBorders>
              <w:top w:val="single" w:sz="12" w:space="0" w:color="auto"/>
            </w:tcBorders>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4.2</w:t>
            </w:r>
          </w:p>
        </w:tc>
        <w:tc>
          <w:tcPr>
            <w:tcW w:w="992" w:type="dxa"/>
            <w:tcBorders>
              <w:top w:val="single" w:sz="12" w:space="0" w:color="auto"/>
            </w:tcBorders>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4.1</w:t>
            </w:r>
          </w:p>
        </w:tc>
        <w:tc>
          <w:tcPr>
            <w:tcW w:w="850" w:type="dxa"/>
            <w:tcBorders>
              <w:top w:val="single" w:sz="12" w:space="0" w:color="auto"/>
            </w:tcBorders>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10.1</w:t>
            </w:r>
          </w:p>
        </w:tc>
        <w:tc>
          <w:tcPr>
            <w:tcW w:w="1043" w:type="dxa"/>
            <w:tcBorders>
              <w:top w:val="single" w:sz="12" w:space="0" w:color="auto"/>
            </w:tcBorders>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10.3</w:t>
            </w:r>
          </w:p>
        </w:tc>
      </w:tr>
      <w:tr w:rsidR="00B33700" w:rsidRPr="00801667" w:rsidTr="0098712C">
        <w:trPr>
          <w:trHeight w:hRule="exact" w:val="227"/>
          <w:jc w:val="center"/>
        </w:trPr>
        <w:tc>
          <w:tcPr>
            <w:tcW w:w="2235" w:type="dxa"/>
          </w:tcPr>
          <w:p w:rsidR="00B33700" w:rsidRPr="002E4421" w:rsidRDefault="00B33700" w:rsidP="00E63909">
            <w:pPr>
              <w:pStyle w:val="BodyText3"/>
              <w:jc w:val="left"/>
              <w:rPr>
                <w:rFonts w:ascii="Arial" w:hAnsi="Arial" w:cs="Arial"/>
                <w:sz w:val="18"/>
                <w:szCs w:val="18"/>
                <w:lang w:eastAsia="en-US"/>
              </w:rPr>
            </w:pPr>
            <w:r w:rsidRPr="002E4421">
              <w:rPr>
                <w:rFonts w:ascii="Arial" w:hAnsi="Arial" w:cs="Arial"/>
                <w:sz w:val="18"/>
                <w:szCs w:val="18"/>
                <w:lang w:eastAsia="en-US"/>
              </w:rPr>
              <w:t>Poverty severity</w:t>
            </w:r>
          </w:p>
        </w:tc>
        <w:tc>
          <w:tcPr>
            <w:tcW w:w="1275" w:type="dxa"/>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2.3</w:t>
            </w:r>
          </w:p>
        </w:tc>
        <w:tc>
          <w:tcPr>
            <w:tcW w:w="1134" w:type="dxa"/>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2.4</w:t>
            </w:r>
          </w:p>
        </w:tc>
        <w:tc>
          <w:tcPr>
            <w:tcW w:w="993" w:type="dxa"/>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1.4</w:t>
            </w:r>
          </w:p>
        </w:tc>
        <w:tc>
          <w:tcPr>
            <w:tcW w:w="992" w:type="dxa"/>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1.4</w:t>
            </w:r>
          </w:p>
        </w:tc>
        <w:tc>
          <w:tcPr>
            <w:tcW w:w="850" w:type="dxa"/>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3.8</w:t>
            </w:r>
          </w:p>
        </w:tc>
        <w:tc>
          <w:tcPr>
            <w:tcW w:w="1043" w:type="dxa"/>
            <w:vAlign w:val="center"/>
          </w:tcPr>
          <w:p w:rsidR="00B33700" w:rsidRPr="002E4421" w:rsidRDefault="00B33700" w:rsidP="009F03B1">
            <w:pPr>
              <w:jc w:val="center"/>
              <w:rPr>
                <w:rFonts w:ascii="Arial" w:hAnsi="Arial"/>
                <w:sz w:val="18"/>
                <w:szCs w:val="18"/>
                <w:rtl/>
              </w:rPr>
            </w:pPr>
            <w:r w:rsidRPr="002E4421">
              <w:rPr>
                <w:rFonts w:ascii="Arial" w:hAnsi="Arial"/>
                <w:sz w:val="18"/>
                <w:szCs w:val="18"/>
                <w:rtl/>
              </w:rPr>
              <w:t>3.9</w:t>
            </w:r>
          </w:p>
        </w:tc>
      </w:tr>
    </w:tbl>
    <w:p w:rsidR="00B33700" w:rsidRPr="00801667" w:rsidRDefault="00B33700" w:rsidP="00B33700">
      <w:pPr>
        <w:pStyle w:val="BodyText3"/>
        <w:jc w:val="left"/>
        <w:rPr>
          <w:b/>
          <w:bCs/>
        </w:rPr>
      </w:pPr>
    </w:p>
    <w:p w:rsidR="007A7FF4" w:rsidRPr="00E2628E" w:rsidRDefault="007A7FF4" w:rsidP="00B33700">
      <w:pPr>
        <w:spacing w:after="0"/>
        <w:jc w:val="both"/>
        <w:rPr>
          <w:rFonts w:ascii="Times New Roman" w:hAnsi="Times New Roman" w:cs="Times New Roman"/>
          <w:sz w:val="24"/>
          <w:szCs w:val="24"/>
        </w:rPr>
      </w:pPr>
      <w:r w:rsidRPr="00210024">
        <w:rPr>
          <w:rFonts w:ascii="Times New Roman" w:hAnsi="Times New Roman" w:cs="Times New Roman"/>
        </w:rPr>
        <w:br/>
      </w:r>
      <w:r w:rsidR="00590325" w:rsidRPr="00E2628E">
        <w:rPr>
          <w:rFonts w:ascii="Times New Roman" w:hAnsi="Times New Roman" w:cs="Times New Roman"/>
          <w:b/>
          <w:bCs/>
          <w:sz w:val="24"/>
          <w:szCs w:val="24"/>
        </w:rPr>
        <w:t>5</w:t>
      </w:r>
      <w:r w:rsidRPr="00E2628E">
        <w:rPr>
          <w:rFonts w:ascii="Times New Roman" w:hAnsi="Times New Roman" w:cs="Times New Roman"/>
          <w:b/>
          <w:bCs/>
          <w:sz w:val="24"/>
          <w:szCs w:val="24"/>
        </w:rPr>
        <w:t xml:space="preserve"> - Balance of Payments</w:t>
      </w:r>
    </w:p>
    <w:p w:rsidR="007D0065" w:rsidRDefault="007A7FF4" w:rsidP="00E2628E">
      <w:pPr>
        <w:spacing w:after="0"/>
        <w:jc w:val="both"/>
        <w:rPr>
          <w:rFonts w:ascii="Times New Roman" w:hAnsi="Times New Roman" w:cs="Times New Roman"/>
          <w:sz w:val="24"/>
          <w:szCs w:val="24"/>
        </w:rPr>
      </w:pPr>
      <w:r w:rsidRPr="00E2628E">
        <w:rPr>
          <w:rFonts w:ascii="Times New Roman" w:hAnsi="Times New Roman" w:cs="Times New Roman"/>
          <w:sz w:val="24"/>
          <w:szCs w:val="24"/>
        </w:rPr>
        <w:br/>
        <w:t xml:space="preserve">Balance of payments is an organized summary record of all economic transactions between residents that are in Palestinian </w:t>
      </w:r>
      <w:r w:rsidR="002C7C30">
        <w:rPr>
          <w:rFonts w:ascii="Times New Roman" w:hAnsi="Times New Roman" w:cs="Times New Roman"/>
          <w:sz w:val="24"/>
          <w:szCs w:val="24"/>
        </w:rPr>
        <w:t>Territory</w:t>
      </w:r>
      <w:r w:rsidRPr="00E2628E">
        <w:rPr>
          <w:rFonts w:ascii="Times New Roman" w:hAnsi="Times New Roman" w:cs="Times New Roman"/>
          <w:sz w:val="24"/>
          <w:szCs w:val="24"/>
        </w:rPr>
        <w:t xml:space="preserve"> and non-residents, and recording credits and debts as a result of those exchanges and economic transactions. The balance of payments consists of two parts, the current account and capital and financial account. The current account includes four sub-accounts as the following: goods, services, income and current transfers, while the capital account includes capital transfers and acquisition of assets of non-financial and non-produced or discard them (disposed them)</w:t>
      </w:r>
      <w:r w:rsidR="00EF6911">
        <w:rPr>
          <w:rStyle w:val="FootnoteReference"/>
          <w:rFonts w:ascii="Times New Roman" w:hAnsi="Times New Roman" w:cs="Times New Roman"/>
          <w:sz w:val="24"/>
          <w:szCs w:val="24"/>
        </w:rPr>
        <w:footnoteReference w:customMarkFollows="1" w:id="2"/>
        <w:t>1</w:t>
      </w:r>
      <w:r w:rsidRPr="00E2628E">
        <w:rPr>
          <w:rFonts w:ascii="Times New Roman" w:hAnsi="Times New Roman" w:cs="Times New Roman"/>
          <w:sz w:val="24"/>
          <w:szCs w:val="24"/>
        </w:rPr>
        <w:t>. The financial account includes direct investment, indirect investment, and other investments and reserve assets.</w:t>
      </w:r>
    </w:p>
    <w:p w:rsidR="007D0065" w:rsidRDefault="007D0065" w:rsidP="00E2628E">
      <w:pPr>
        <w:spacing w:after="0"/>
        <w:jc w:val="both"/>
        <w:rPr>
          <w:rFonts w:ascii="Times New Roman" w:hAnsi="Times New Roman" w:cs="Times New Roman"/>
          <w:sz w:val="24"/>
          <w:szCs w:val="24"/>
        </w:rPr>
      </w:pPr>
    </w:p>
    <w:p w:rsidR="00020161" w:rsidRPr="00E2628E" w:rsidRDefault="007A7FF4" w:rsidP="007D0065">
      <w:pPr>
        <w:spacing w:after="0"/>
        <w:jc w:val="both"/>
        <w:rPr>
          <w:rFonts w:ascii="Times New Roman" w:hAnsi="Times New Roman" w:cs="Times New Roman"/>
          <w:sz w:val="24"/>
          <w:szCs w:val="24"/>
        </w:rPr>
      </w:pPr>
      <w:r w:rsidRPr="00E2628E">
        <w:rPr>
          <w:rFonts w:ascii="Times New Roman" w:hAnsi="Times New Roman" w:cs="Times New Roman"/>
          <w:sz w:val="24"/>
          <w:szCs w:val="24"/>
        </w:rPr>
        <w:br/>
      </w:r>
      <w:r w:rsidRPr="00E2628E">
        <w:rPr>
          <w:rFonts w:ascii="Times New Roman" w:hAnsi="Times New Roman" w:cs="Times New Roman"/>
          <w:b/>
          <w:bCs/>
          <w:sz w:val="24"/>
          <w:szCs w:val="24"/>
        </w:rPr>
        <w:t xml:space="preserve">The current account deficit in Palestinian </w:t>
      </w:r>
      <w:r w:rsidR="002C7C30">
        <w:rPr>
          <w:rFonts w:ascii="Times New Roman" w:hAnsi="Times New Roman" w:cs="Times New Roman"/>
          <w:b/>
          <w:bCs/>
          <w:sz w:val="24"/>
          <w:szCs w:val="24"/>
        </w:rPr>
        <w:t>Territory</w:t>
      </w:r>
      <w:r w:rsidRPr="00E2628E">
        <w:rPr>
          <w:rFonts w:ascii="Times New Roman" w:hAnsi="Times New Roman" w:cs="Times New Roman"/>
          <w:b/>
          <w:bCs/>
          <w:sz w:val="24"/>
          <w:szCs w:val="24"/>
        </w:rPr>
        <w:t xml:space="preserve"> increased during 2011 to reach </w:t>
      </w:r>
      <w:r w:rsidR="000E0C2C">
        <w:rPr>
          <w:rFonts w:ascii="Times New Roman" w:hAnsi="Times New Roman" w:cs="Times New Roman"/>
          <w:b/>
          <w:bCs/>
          <w:sz w:val="24"/>
          <w:szCs w:val="24"/>
        </w:rPr>
        <w:t>USD</w:t>
      </w:r>
      <w:r w:rsidR="00E30291" w:rsidRPr="00E2628E">
        <w:rPr>
          <w:rFonts w:ascii="Times New Roman" w:hAnsi="Times New Roman" w:cs="Times New Roman"/>
          <w:b/>
          <w:bCs/>
          <w:sz w:val="24"/>
          <w:szCs w:val="24"/>
        </w:rPr>
        <w:t>1</w:t>
      </w:r>
      <w:r w:rsidRPr="00E2628E">
        <w:rPr>
          <w:rFonts w:ascii="Times New Roman" w:hAnsi="Times New Roman" w:cs="Times New Roman"/>
          <w:b/>
          <w:bCs/>
          <w:sz w:val="24"/>
          <w:szCs w:val="24"/>
        </w:rPr>
        <w:t>,</w:t>
      </w:r>
      <w:r w:rsidR="00E30291" w:rsidRPr="00E2628E">
        <w:rPr>
          <w:rFonts w:ascii="Times New Roman" w:hAnsi="Times New Roman" w:cs="Times New Roman"/>
          <w:b/>
          <w:bCs/>
          <w:sz w:val="24"/>
          <w:szCs w:val="24"/>
        </w:rPr>
        <w:t>894.4 million</w:t>
      </w:r>
      <w:r w:rsidRPr="00E2628E">
        <w:rPr>
          <w:rFonts w:ascii="Times New Roman" w:hAnsi="Times New Roman" w:cs="Times New Roman"/>
          <w:b/>
          <w:bCs/>
          <w:sz w:val="24"/>
          <w:szCs w:val="24"/>
        </w:rPr>
        <w:t xml:space="preserve"> the highest deficit since 2000.</w:t>
      </w:r>
      <w:r w:rsidRPr="00E2628E">
        <w:rPr>
          <w:rFonts w:ascii="Times New Roman" w:hAnsi="Times New Roman" w:cs="Times New Roman"/>
          <w:sz w:val="24"/>
          <w:szCs w:val="24"/>
        </w:rPr>
        <w:t xml:space="preserve"> The reasons for this deficit is a steady rise in the value of imports of goods and services to Palestine in return for the survival of Palestinian exports at the level of the year which is reflected on the value of the deficit in trade balance, which is one of the most important components of current account of balance of payments, in addition to the low value of current transfers received from foreign countries.</w:t>
      </w:r>
    </w:p>
    <w:p w:rsidR="00020161" w:rsidRPr="00E2628E" w:rsidRDefault="007A7FF4" w:rsidP="00020161">
      <w:pPr>
        <w:spacing w:after="0"/>
        <w:jc w:val="both"/>
        <w:rPr>
          <w:rFonts w:ascii="Times New Roman" w:hAnsi="Times New Roman" w:cs="Times New Roman"/>
          <w:color w:val="FF0000"/>
          <w:sz w:val="24"/>
          <w:szCs w:val="24"/>
        </w:rPr>
      </w:pPr>
      <w:r w:rsidRPr="00E2628E">
        <w:rPr>
          <w:rFonts w:ascii="Times New Roman" w:hAnsi="Times New Roman" w:cs="Times New Roman"/>
          <w:color w:val="FF0000"/>
          <w:sz w:val="24"/>
          <w:szCs w:val="24"/>
        </w:rPr>
        <w:br/>
      </w:r>
    </w:p>
    <w:p w:rsidR="00020161" w:rsidRPr="00E2628E" w:rsidRDefault="00020161" w:rsidP="00020161">
      <w:pPr>
        <w:spacing w:after="0"/>
        <w:jc w:val="both"/>
        <w:rPr>
          <w:rFonts w:ascii="Times New Roman" w:hAnsi="Times New Roman" w:cs="Times New Roman"/>
          <w:color w:val="FF0000"/>
          <w:sz w:val="24"/>
          <w:szCs w:val="24"/>
        </w:rPr>
      </w:pPr>
    </w:p>
    <w:p w:rsidR="00B33700" w:rsidRDefault="00B33700" w:rsidP="0056772B">
      <w:pPr>
        <w:spacing w:after="0"/>
        <w:jc w:val="center"/>
        <w:rPr>
          <w:rFonts w:ascii="Times New Roman" w:hAnsi="Times New Roman" w:cs="Times New Roman"/>
          <w:color w:val="FF0000"/>
        </w:rPr>
      </w:pPr>
    </w:p>
    <w:p w:rsidR="00B33700" w:rsidRDefault="00B33700" w:rsidP="0056772B">
      <w:pPr>
        <w:spacing w:after="0"/>
        <w:jc w:val="center"/>
        <w:rPr>
          <w:rFonts w:ascii="Times New Roman" w:hAnsi="Times New Roman" w:cs="Times New Roman"/>
          <w:color w:val="FF0000"/>
        </w:rPr>
      </w:pPr>
    </w:p>
    <w:p w:rsidR="00B33700" w:rsidRDefault="00B33700" w:rsidP="0056772B">
      <w:pPr>
        <w:spacing w:after="0"/>
        <w:jc w:val="center"/>
        <w:rPr>
          <w:rFonts w:ascii="Times New Roman" w:hAnsi="Times New Roman" w:cs="Times New Roman"/>
          <w:color w:val="FF0000"/>
        </w:rPr>
      </w:pPr>
    </w:p>
    <w:p w:rsidR="00EF6911" w:rsidRDefault="00EF6911" w:rsidP="00EF6911">
      <w:pPr>
        <w:spacing w:after="0"/>
        <w:rPr>
          <w:rFonts w:ascii="Times New Roman" w:hAnsi="Times New Roman" w:cs="Times New Roman"/>
          <w:color w:val="FF0000"/>
        </w:rPr>
      </w:pPr>
    </w:p>
    <w:p w:rsidR="00EE7F53" w:rsidRDefault="00EE7F53" w:rsidP="00EF6911">
      <w:pPr>
        <w:spacing w:after="0"/>
        <w:rPr>
          <w:rFonts w:ascii="Times New Roman" w:hAnsi="Times New Roman" w:cs="Times New Roman"/>
          <w:color w:val="FF0000"/>
        </w:rPr>
      </w:pPr>
    </w:p>
    <w:p w:rsidR="00EF6911" w:rsidRDefault="00EF6911" w:rsidP="00EF6911">
      <w:pPr>
        <w:spacing w:after="0"/>
        <w:rPr>
          <w:rFonts w:ascii="Times New Roman" w:hAnsi="Times New Roman" w:cs="Times New Roman"/>
        </w:rPr>
      </w:pPr>
    </w:p>
    <w:p w:rsidR="00D4451A" w:rsidRDefault="007A7FF4" w:rsidP="00B2578A">
      <w:pPr>
        <w:spacing w:after="0"/>
        <w:jc w:val="center"/>
        <w:rPr>
          <w:rFonts w:ascii="Times New Roman" w:hAnsi="Times New Roman" w:cs="Times New Roman"/>
          <w:b/>
          <w:bCs/>
        </w:rPr>
      </w:pPr>
      <w:r w:rsidRPr="00210024">
        <w:rPr>
          <w:rFonts w:ascii="Times New Roman" w:hAnsi="Times New Roman" w:cs="Times New Roman"/>
          <w:b/>
          <w:bCs/>
        </w:rPr>
        <w:lastRenderedPageBreak/>
        <w:t xml:space="preserve">Table </w:t>
      </w:r>
      <w:r w:rsidR="00186D70">
        <w:rPr>
          <w:rFonts w:ascii="Times New Roman" w:hAnsi="Times New Roman" w:cs="Times New Roman"/>
          <w:b/>
          <w:bCs/>
        </w:rPr>
        <w:t>7</w:t>
      </w:r>
      <w:r w:rsidRPr="00210024">
        <w:rPr>
          <w:rFonts w:ascii="Times New Roman" w:hAnsi="Times New Roman" w:cs="Times New Roman"/>
          <w:b/>
          <w:bCs/>
        </w:rPr>
        <w:t xml:space="preserve">: </w:t>
      </w:r>
      <w:r w:rsidR="00B2578A">
        <w:rPr>
          <w:rFonts w:ascii="Times New Roman" w:hAnsi="Times New Roman" w:cs="Times New Roman"/>
          <w:b/>
          <w:bCs/>
        </w:rPr>
        <w:t>Main i</w:t>
      </w:r>
      <w:r w:rsidRPr="00210024">
        <w:rPr>
          <w:rFonts w:ascii="Times New Roman" w:hAnsi="Times New Roman" w:cs="Times New Roman"/>
          <w:b/>
          <w:bCs/>
        </w:rPr>
        <w:t xml:space="preserve">ndicators </w:t>
      </w:r>
      <w:r w:rsidR="00B2578A">
        <w:rPr>
          <w:rFonts w:ascii="Times New Roman" w:hAnsi="Times New Roman" w:cs="Times New Roman"/>
          <w:b/>
          <w:bCs/>
        </w:rPr>
        <w:t xml:space="preserve">on the </w:t>
      </w:r>
      <w:r w:rsidRPr="00210024">
        <w:rPr>
          <w:rFonts w:ascii="Times New Roman" w:hAnsi="Times New Roman" w:cs="Times New Roman"/>
          <w:b/>
          <w:bCs/>
        </w:rPr>
        <w:t>structure</w:t>
      </w:r>
      <w:r w:rsidR="00B2578A" w:rsidRPr="00B2578A">
        <w:rPr>
          <w:rFonts w:ascii="Times New Roman" w:hAnsi="Times New Roman" w:cs="Times New Roman"/>
          <w:b/>
          <w:bCs/>
        </w:rPr>
        <w:t xml:space="preserve"> </w:t>
      </w:r>
      <w:r w:rsidR="00B2578A">
        <w:rPr>
          <w:rFonts w:ascii="Times New Roman" w:hAnsi="Times New Roman" w:cs="Times New Roman"/>
          <w:b/>
          <w:bCs/>
        </w:rPr>
        <w:t>of</w:t>
      </w:r>
      <w:r w:rsidR="00B2578A" w:rsidRPr="00210024">
        <w:rPr>
          <w:rFonts w:ascii="Times New Roman" w:hAnsi="Times New Roman" w:cs="Times New Roman"/>
          <w:b/>
          <w:bCs/>
        </w:rPr>
        <w:t xml:space="preserve"> current account</w:t>
      </w:r>
      <w:r w:rsidRPr="00210024">
        <w:rPr>
          <w:rFonts w:ascii="Times New Roman" w:hAnsi="Times New Roman" w:cs="Times New Roman"/>
          <w:b/>
          <w:bCs/>
        </w:rPr>
        <w:t xml:space="preserve"> </w:t>
      </w:r>
      <w:r w:rsidR="0056772B" w:rsidRPr="004E405F">
        <w:rPr>
          <w:rFonts w:ascii="Times New Roman" w:hAnsi="Times New Roman" w:cs="Times New Roman"/>
          <w:b/>
          <w:bCs/>
        </w:rPr>
        <w:t>in</w:t>
      </w:r>
      <w:r w:rsidR="0056772B">
        <w:rPr>
          <w:rFonts w:ascii="Times New Roman" w:hAnsi="Times New Roman" w:cs="Times New Roman"/>
          <w:b/>
          <w:bCs/>
        </w:rPr>
        <w:t xml:space="preserve"> the</w:t>
      </w:r>
      <w:r w:rsidR="0056772B" w:rsidRPr="004E405F">
        <w:rPr>
          <w:rFonts w:ascii="Times New Roman" w:hAnsi="Times New Roman" w:cs="Times New Roman"/>
          <w:b/>
          <w:bCs/>
        </w:rPr>
        <w:t xml:space="preserve"> Palestinian </w:t>
      </w:r>
      <w:r w:rsidR="0056772B">
        <w:rPr>
          <w:rFonts w:ascii="Times New Roman" w:hAnsi="Times New Roman" w:cs="Times New Roman"/>
          <w:b/>
          <w:bCs/>
        </w:rPr>
        <w:t>Territory</w:t>
      </w:r>
      <w:r w:rsidRPr="00210024">
        <w:rPr>
          <w:rFonts w:ascii="Times New Roman" w:hAnsi="Times New Roman" w:cs="Times New Roman"/>
          <w:b/>
          <w:bCs/>
        </w:rPr>
        <w:t xml:space="preserve">, </w:t>
      </w:r>
    </w:p>
    <w:p w:rsidR="007A7FF4" w:rsidRPr="00F22A25" w:rsidRDefault="007A7FF4" w:rsidP="00B2578A">
      <w:pPr>
        <w:spacing w:after="0"/>
        <w:jc w:val="center"/>
        <w:rPr>
          <w:rFonts w:ascii="Times New Roman" w:hAnsi="Times New Roman" w:cs="Times New Roman"/>
          <w:b/>
          <w:bCs/>
          <w:color w:val="FF0000"/>
        </w:rPr>
      </w:pPr>
      <w:r w:rsidRPr="00210024">
        <w:rPr>
          <w:rFonts w:ascii="Times New Roman" w:hAnsi="Times New Roman" w:cs="Times New Roman"/>
          <w:b/>
          <w:bCs/>
        </w:rPr>
        <w:t>(2004-2011)</w:t>
      </w:r>
      <w:r w:rsidR="00B2578A">
        <w:rPr>
          <w:rFonts w:ascii="Times New Roman" w:hAnsi="Times New Roman" w:cs="Times New Roman"/>
          <w:b/>
          <w:bCs/>
        </w:rPr>
        <w:t xml:space="preserve"> </w:t>
      </w:r>
      <w:r w:rsidRPr="00F22A25">
        <w:rPr>
          <w:rFonts w:ascii="Times New Roman" w:hAnsi="Times New Roman" w:cs="Times New Roman"/>
          <w:b/>
          <w:bCs/>
          <w:sz w:val="18"/>
          <w:szCs w:val="18"/>
        </w:rPr>
        <w:t xml:space="preserve">(Value in </w:t>
      </w:r>
      <w:r w:rsidR="004571E6">
        <w:rPr>
          <w:rFonts w:ascii="Times New Roman" w:hAnsi="Times New Roman" w:cs="Times New Roman"/>
          <w:b/>
          <w:bCs/>
          <w:sz w:val="18"/>
          <w:szCs w:val="18"/>
        </w:rPr>
        <w:t>USD</w:t>
      </w:r>
      <w:r w:rsidRPr="00F22A25">
        <w:rPr>
          <w:rFonts w:ascii="Times New Roman" w:hAnsi="Times New Roman" w:cs="Times New Roman"/>
          <w:b/>
          <w:bCs/>
          <w:sz w:val="18"/>
          <w:szCs w:val="18"/>
        </w:rPr>
        <w:t xml:space="preserve"> million)</w:t>
      </w:r>
    </w:p>
    <w:p w:rsidR="007A7FF4" w:rsidRPr="00F22A25" w:rsidRDefault="007A7FF4" w:rsidP="007A7FF4">
      <w:pPr>
        <w:pStyle w:val="Heading4"/>
        <w:keepNext w:val="0"/>
        <w:bidi w:val="0"/>
        <w:spacing w:before="0"/>
        <w:ind w:left="140"/>
        <w:jc w:val="both"/>
        <w:rPr>
          <w:rFonts w:ascii="Times New Roman" w:hAnsi="Times New Roman"/>
          <w:color w:val="000000" w:themeColor="text1"/>
          <w:sz w:val="18"/>
          <w:szCs w:val="18"/>
        </w:rPr>
      </w:pPr>
      <w:r w:rsidRPr="00F22A25">
        <w:rPr>
          <w:rFonts w:ascii="Times New Roman" w:hAnsi="Times New Roman"/>
          <w:color w:val="000000" w:themeColor="text1"/>
          <w:sz w:val="18"/>
          <w:szCs w:val="18"/>
        </w:rPr>
        <w:t xml:space="preserve"> </w:t>
      </w:r>
    </w:p>
    <w:tbl>
      <w:tblPr>
        <w:tblW w:w="9747" w:type="dxa"/>
        <w:jc w:val="center"/>
        <w:tblBorders>
          <w:top w:val="single" w:sz="12" w:space="0" w:color="auto"/>
          <w:bottom w:val="single" w:sz="12" w:space="0" w:color="auto"/>
        </w:tblBorders>
        <w:tblLook w:val="04A0"/>
      </w:tblPr>
      <w:tblGrid>
        <w:gridCol w:w="2518"/>
        <w:gridCol w:w="1026"/>
        <w:gridCol w:w="903"/>
        <w:gridCol w:w="885"/>
        <w:gridCol w:w="898"/>
        <w:gridCol w:w="898"/>
        <w:gridCol w:w="885"/>
        <w:gridCol w:w="885"/>
        <w:gridCol w:w="849"/>
      </w:tblGrid>
      <w:tr w:rsidR="007A7FF4" w:rsidRPr="00210024" w:rsidTr="00DC3985">
        <w:trPr>
          <w:trHeight w:hRule="exact" w:val="431"/>
          <w:jc w:val="center"/>
        </w:trPr>
        <w:tc>
          <w:tcPr>
            <w:tcW w:w="2518" w:type="dxa"/>
            <w:tcBorders>
              <w:top w:val="single" w:sz="12" w:space="0" w:color="auto"/>
              <w:bottom w:val="single" w:sz="12" w:space="0" w:color="auto"/>
            </w:tcBorders>
          </w:tcPr>
          <w:p w:rsidR="007A7FF4" w:rsidRPr="00210024" w:rsidRDefault="007A7FF4" w:rsidP="00186D70">
            <w:pPr>
              <w:pStyle w:val="BodyText3"/>
              <w:spacing w:after="0"/>
              <w:ind w:right="-288"/>
              <w:jc w:val="center"/>
              <w:rPr>
                <w:b/>
                <w:bCs/>
                <w:sz w:val="18"/>
                <w:szCs w:val="18"/>
                <w:lang w:eastAsia="en-US"/>
              </w:rPr>
            </w:pPr>
          </w:p>
        </w:tc>
        <w:tc>
          <w:tcPr>
            <w:tcW w:w="1026" w:type="dxa"/>
            <w:tcBorders>
              <w:top w:val="single" w:sz="12" w:space="0" w:color="auto"/>
              <w:bottom w:val="single" w:sz="12" w:space="0" w:color="auto"/>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2004</w:t>
            </w:r>
          </w:p>
        </w:tc>
        <w:tc>
          <w:tcPr>
            <w:tcW w:w="903" w:type="dxa"/>
            <w:tcBorders>
              <w:top w:val="single" w:sz="12" w:space="0" w:color="auto"/>
              <w:bottom w:val="single" w:sz="12" w:space="0" w:color="auto"/>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2005</w:t>
            </w:r>
          </w:p>
        </w:tc>
        <w:tc>
          <w:tcPr>
            <w:tcW w:w="885" w:type="dxa"/>
            <w:tcBorders>
              <w:top w:val="single" w:sz="12" w:space="0" w:color="auto"/>
              <w:bottom w:val="single" w:sz="12" w:space="0" w:color="auto"/>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2006</w:t>
            </w:r>
          </w:p>
        </w:tc>
        <w:tc>
          <w:tcPr>
            <w:tcW w:w="898" w:type="dxa"/>
            <w:tcBorders>
              <w:top w:val="single" w:sz="12" w:space="0" w:color="auto"/>
              <w:bottom w:val="single" w:sz="12" w:space="0" w:color="auto"/>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2007</w:t>
            </w:r>
          </w:p>
        </w:tc>
        <w:tc>
          <w:tcPr>
            <w:tcW w:w="898" w:type="dxa"/>
            <w:tcBorders>
              <w:top w:val="single" w:sz="12" w:space="0" w:color="auto"/>
              <w:bottom w:val="single" w:sz="12" w:space="0" w:color="auto"/>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2008</w:t>
            </w:r>
          </w:p>
        </w:tc>
        <w:tc>
          <w:tcPr>
            <w:tcW w:w="885" w:type="dxa"/>
            <w:tcBorders>
              <w:top w:val="single" w:sz="12" w:space="0" w:color="auto"/>
              <w:bottom w:val="single" w:sz="12" w:space="0" w:color="auto"/>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2009</w:t>
            </w:r>
          </w:p>
        </w:tc>
        <w:tc>
          <w:tcPr>
            <w:tcW w:w="885" w:type="dxa"/>
            <w:tcBorders>
              <w:top w:val="single" w:sz="12" w:space="0" w:color="auto"/>
              <w:bottom w:val="single" w:sz="12" w:space="0" w:color="auto"/>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2010</w:t>
            </w:r>
          </w:p>
        </w:tc>
        <w:tc>
          <w:tcPr>
            <w:tcW w:w="849" w:type="dxa"/>
            <w:tcBorders>
              <w:top w:val="single" w:sz="12" w:space="0" w:color="auto"/>
              <w:bottom w:val="single" w:sz="12" w:space="0" w:color="auto"/>
            </w:tcBorders>
          </w:tcPr>
          <w:p w:rsidR="007A7FF4" w:rsidRPr="00210024" w:rsidRDefault="007A7FF4" w:rsidP="00186D70">
            <w:pPr>
              <w:pStyle w:val="BodyText3"/>
              <w:spacing w:after="0"/>
              <w:jc w:val="center"/>
              <w:rPr>
                <w:b/>
                <w:bCs/>
                <w:sz w:val="18"/>
                <w:szCs w:val="18"/>
                <w:lang w:eastAsia="en-US"/>
              </w:rPr>
            </w:pPr>
            <w:r w:rsidRPr="00210024">
              <w:rPr>
                <w:b/>
                <w:bCs/>
                <w:sz w:val="18"/>
                <w:szCs w:val="18"/>
                <w:lang w:eastAsia="en-US"/>
              </w:rPr>
              <w:t>2011*</w:t>
            </w:r>
          </w:p>
        </w:tc>
      </w:tr>
      <w:tr w:rsidR="007A7FF4" w:rsidRPr="00210024" w:rsidTr="00DC3985">
        <w:trPr>
          <w:trHeight w:hRule="exact" w:val="452"/>
          <w:jc w:val="center"/>
        </w:trPr>
        <w:tc>
          <w:tcPr>
            <w:tcW w:w="2518" w:type="dxa"/>
            <w:tcBorders>
              <w:top w:val="single" w:sz="12" w:space="0" w:color="auto"/>
              <w:bottom w:val="nil"/>
            </w:tcBorders>
            <w:vAlign w:val="center"/>
          </w:tcPr>
          <w:p w:rsidR="007A7FF4" w:rsidRPr="00210024" w:rsidRDefault="007A7FF4" w:rsidP="00186D70">
            <w:pPr>
              <w:pStyle w:val="BodyText3"/>
              <w:spacing w:after="0"/>
              <w:jc w:val="left"/>
              <w:rPr>
                <w:sz w:val="18"/>
                <w:szCs w:val="18"/>
                <w:lang w:eastAsia="en-US"/>
              </w:rPr>
            </w:pPr>
            <w:r w:rsidRPr="00210024">
              <w:rPr>
                <w:color w:val="000000" w:themeColor="text1"/>
                <w:sz w:val="18"/>
                <w:szCs w:val="18"/>
              </w:rPr>
              <w:t>C</w:t>
            </w:r>
            <w:r w:rsidRPr="00210024">
              <w:rPr>
                <w:sz w:val="18"/>
                <w:szCs w:val="18"/>
              </w:rPr>
              <w:t>urrent account net</w:t>
            </w:r>
          </w:p>
        </w:tc>
        <w:tc>
          <w:tcPr>
            <w:tcW w:w="1026" w:type="dxa"/>
            <w:tcBorders>
              <w:top w:val="single" w:sz="12" w:space="0" w:color="auto"/>
              <w:bottom w:val="nil"/>
            </w:tcBorders>
            <w:vAlign w:val="center"/>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-1,516.0</w:t>
            </w:r>
          </w:p>
        </w:tc>
        <w:tc>
          <w:tcPr>
            <w:tcW w:w="903" w:type="dxa"/>
            <w:tcBorders>
              <w:top w:val="single" w:sz="12" w:space="0" w:color="auto"/>
              <w:bottom w:val="nil"/>
            </w:tcBorders>
            <w:vAlign w:val="center"/>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-1152.2</w:t>
            </w:r>
          </w:p>
        </w:tc>
        <w:tc>
          <w:tcPr>
            <w:tcW w:w="885" w:type="dxa"/>
            <w:tcBorders>
              <w:top w:val="single" w:sz="12" w:space="0" w:color="auto"/>
              <w:bottom w:val="nil"/>
            </w:tcBorders>
            <w:vAlign w:val="center"/>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-912.9</w:t>
            </w:r>
          </w:p>
        </w:tc>
        <w:tc>
          <w:tcPr>
            <w:tcW w:w="898" w:type="dxa"/>
            <w:tcBorders>
              <w:top w:val="single" w:sz="12" w:space="0" w:color="auto"/>
              <w:bottom w:val="nil"/>
            </w:tcBorders>
            <w:vAlign w:val="center"/>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-417.3</w:t>
            </w:r>
          </w:p>
        </w:tc>
        <w:tc>
          <w:tcPr>
            <w:tcW w:w="898" w:type="dxa"/>
            <w:tcBorders>
              <w:top w:val="single" w:sz="12" w:space="0" w:color="auto"/>
              <w:bottom w:val="nil"/>
            </w:tcBorders>
            <w:vAlign w:val="center"/>
          </w:tcPr>
          <w:p w:rsidR="007A7FF4" w:rsidRPr="00210024" w:rsidRDefault="007A7FF4" w:rsidP="00186D70">
            <w:pPr>
              <w:spacing w:after="0"/>
              <w:jc w:val="center"/>
              <w:rPr>
                <w:rFonts w:ascii="Times New Roman" w:hAnsi="Times New Roman" w:cs="Times New Roman"/>
                <w:color w:val="000000" w:themeColor="text1"/>
                <w:sz w:val="18"/>
                <w:szCs w:val="18"/>
                <w:rtl/>
              </w:rPr>
            </w:pPr>
            <w:r w:rsidRPr="00210024">
              <w:rPr>
                <w:rFonts w:ascii="Times New Roman" w:hAnsi="Times New Roman" w:cs="Times New Roman"/>
                <w:color w:val="000000" w:themeColor="text1"/>
                <w:sz w:val="18"/>
                <w:szCs w:val="18"/>
              </w:rPr>
              <w:t>764.4</w:t>
            </w:r>
          </w:p>
        </w:tc>
        <w:tc>
          <w:tcPr>
            <w:tcW w:w="885" w:type="dxa"/>
            <w:tcBorders>
              <w:top w:val="single" w:sz="12" w:space="0" w:color="auto"/>
              <w:bottom w:val="nil"/>
            </w:tcBorders>
            <w:vAlign w:val="center"/>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-712.5</w:t>
            </w:r>
          </w:p>
        </w:tc>
        <w:tc>
          <w:tcPr>
            <w:tcW w:w="885" w:type="dxa"/>
            <w:tcBorders>
              <w:top w:val="single" w:sz="12" w:space="0" w:color="auto"/>
              <w:bottom w:val="nil"/>
            </w:tcBorders>
            <w:vAlign w:val="center"/>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-690.9</w:t>
            </w:r>
          </w:p>
        </w:tc>
        <w:tc>
          <w:tcPr>
            <w:tcW w:w="849" w:type="dxa"/>
            <w:tcBorders>
              <w:top w:val="single" w:sz="12" w:space="0" w:color="auto"/>
              <w:bottom w:val="nil"/>
            </w:tcBorders>
            <w:vAlign w:val="center"/>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-1894.4</w:t>
            </w:r>
          </w:p>
        </w:tc>
      </w:tr>
      <w:tr w:rsidR="007A7FF4" w:rsidRPr="00210024" w:rsidTr="00DC3985">
        <w:trPr>
          <w:trHeight w:hRule="exact" w:val="689"/>
          <w:jc w:val="center"/>
        </w:trPr>
        <w:tc>
          <w:tcPr>
            <w:tcW w:w="2518" w:type="dxa"/>
            <w:tcBorders>
              <w:top w:val="nil"/>
            </w:tcBorders>
            <w:vAlign w:val="center"/>
          </w:tcPr>
          <w:p w:rsidR="007A7FF4" w:rsidRPr="00210024" w:rsidRDefault="007A7FF4" w:rsidP="00186D70">
            <w:pPr>
              <w:pStyle w:val="BodyText3"/>
              <w:spacing w:after="0"/>
              <w:jc w:val="left"/>
              <w:rPr>
                <w:sz w:val="18"/>
                <w:szCs w:val="18"/>
                <w:lang w:eastAsia="en-US"/>
              </w:rPr>
            </w:pPr>
            <w:r w:rsidRPr="00210024">
              <w:rPr>
                <w:sz w:val="18"/>
                <w:szCs w:val="18"/>
                <w:lang w:eastAsia="en-US"/>
              </w:rPr>
              <w:t>Compensation of employees receivable from abroad</w:t>
            </w:r>
          </w:p>
        </w:tc>
        <w:tc>
          <w:tcPr>
            <w:tcW w:w="1026" w:type="dxa"/>
            <w:tcBorders>
              <w:top w:val="nil"/>
            </w:tcBorders>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421.4</w:t>
            </w:r>
          </w:p>
        </w:tc>
        <w:tc>
          <w:tcPr>
            <w:tcW w:w="903" w:type="dxa"/>
            <w:tcBorders>
              <w:top w:val="nil"/>
            </w:tcBorders>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486.7</w:t>
            </w:r>
          </w:p>
        </w:tc>
        <w:tc>
          <w:tcPr>
            <w:tcW w:w="885" w:type="dxa"/>
            <w:tcBorders>
              <w:top w:val="nil"/>
            </w:tcBorders>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579.2</w:t>
            </w:r>
          </w:p>
        </w:tc>
        <w:tc>
          <w:tcPr>
            <w:tcW w:w="898" w:type="dxa"/>
            <w:tcBorders>
              <w:top w:val="nil"/>
            </w:tcBorders>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598.5</w:t>
            </w:r>
          </w:p>
        </w:tc>
        <w:tc>
          <w:tcPr>
            <w:tcW w:w="898" w:type="dxa"/>
            <w:tcBorders>
              <w:top w:val="nil"/>
            </w:tcBorders>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746.2</w:t>
            </w:r>
          </w:p>
        </w:tc>
        <w:tc>
          <w:tcPr>
            <w:tcW w:w="885" w:type="dxa"/>
            <w:tcBorders>
              <w:top w:val="nil"/>
            </w:tcBorders>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831.1</w:t>
            </w:r>
          </w:p>
        </w:tc>
        <w:tc>
          <w:tcPr>
            <w:tcW w:w="885" w:type="dxa"/>
            <w:tcBorders>
              <w:top w:val="nil"/>
            </w:tcBorders>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1,077.4</w:t>
            </w:r>
          </w:p>
        </w:tc>
        <w:tc>
          <w:tcPr>
            <w:tcW w:w="849" w:type="dxa"/>
            <w:tcBorders>
              <w:top w:val="nil"/>
            </w:tcBorders>
            <w:vAlign w:val="center"/>
          </w:tcPr>
          <w:p w:rsidR="007A7FF4" w:rsidRPr="00210024" w:rsidRDefault="007A7FF4" w:rsidP="00186D70">
            <w:pPr>
              <w:spacing w:after="0"/>
              <w:jc w:val="center"/>
              <w:rPr>
                <w:rFonts w:ascii="Times New Roman" w:hAnsi="Times New Roman" w:cs="Times New Roman"/>
                <w:sz w:val="18"/>
                <w:szCs w:val="18"/>
                <w:rtl/>
              </w:rPr>
            </w:pPr>
            <w:r w:rsidRPr="00210024">
              <w:rPr>
                <w:rFonts w:ascii="Times New Roman" w:hAnsi="Times New Roman" w:cs="Times New Roman"/>
                <w:sz w:val="18"/>
                <w:szCs w:val="18"/>
              </w:rPr>
              <w:t>1,117.4</w:t>
            </w:r>
          </w:p>
        </w:tc>
      </w:tr>
      <w:tr w:rsidR="007A7FF4" w:rsidRPr="00210024" w:rsidTr="00DC3985">
        <w:trPr>
          <w:trHeight w:hRule="exact" w:val="431"/>
          <w:jc w:val="center"/>
        </w:trPr>
        <w:tc>
          <w:tcPr>
            <w:tcW w:w="2518" w:type="dxa"/>
            <w:vAlign w:val="center"/>
          </w:tcPr>
          <w:p w:rsidR="007A7FF4" w:rsidRPr="00210024" w:rsidRDefault="007A7FF4" w:rsidP="00186D70">
            <w:pPr>
              <w:pStyle w:val="BodyText3"/>
              <w:spacing w:after="0"/>
              <w:jc w:val="left"/>
              <w:rPr>
                <w:sz w:val="18"/>
                <w:szCs w:val="18"/>
                <w:lang w:eastAsia="en-US"/>
              </w:rPr>
            </w:pPr>
            <w:r w:rsidRPr="00210024">
              <w:rPr>
                <w:sz w:val="18"/>
                <w:szCs w:val="18"/>
                <w:lang w:eastAsia="en-US"/>
              </w:rPr>
              <w:t>Receivable current transfers</w:t>
            </w:r>
          </w:p>
        </w:tc>
        <w:tc>
          <w:tcPr>
            <w:tcW w:w="1026"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895.3</w:t>
            </w:r>
          </w:p>
        </w:tc>
        <w:tc>
          <w:tcPr>
            <w:tcW w:w="903"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1,299.4</w:t>
            </w:r>
          </w:p>
        </w:tc>
        <w:tc>
          <w:tcPr>
            <w:tcW w:w="885"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1,623.0</w:t>
            </w:r>
          </w:p>
        </w:tc>
        <w:tc>
          <w:tcPr>
            <w:tcW w:w="898"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2,505.5</w:t>
            </w:r>
          </w:p>
        </w:tc>
        <w:tc>
          <w:tcPr>
            <w:tcW w:w="898"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3,57</w:t>
            </w:r>
            <w:r w:rsidRPr="00210024">
              <w:rPr>
                <w:rFonts w:ascii="Times New Roman" w:hAnsi="Times New Roman" w:cs="Times New Roman"/>
                <w:sz w:val="18"/>
                <w:szCs w:val="18"/>
                <w:rtl/>
              </w:rPr>
              <w:t>2</w:t>
            </w:r>
            <w:r w:rsidRPr="00210024">
              <w:rPr>
                <w:rFonts w:ascii="Times New Roman" w:hAnsi="Times New Roman" w:cs="Times New Roman"/>
                <w:sz w:val="18"/>
                <w:szCs w:val="18"/>
              </w:rPr>
              <w:t>.</w:t>
            </w:r>
            <w:r w:rsidRPr="00210024">
              <w:rPr>
                <w:rFonts w:ascii="Times New Roman" w:hAnsi="Times New Roman" w:cs="Times New Roman"/>
                <w:sz w:val="18"/>
                <w:szCs w:val="18"/>
                <w:rtl/>
              </w:rPr>
              <w:t>8</w:t>
            </w:r>
          </w:p>
        </w:tc>
        <w:tc>
          <w:tcPr>
            <w:tcW w:w="885"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tl/>
              </w:rPr>
              <w:t>2,502.0</w:t>
            </w:r>
          </w:p>
        </w:tc>
        <w:tc>
          <w:tcPr>
            <w:tcW w:w="885"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2,476.5</w:t>
            </w:r>
          </w:p>
        </w:tc>
        <w:tc>
          <w:tcPr>
            <w:tcW w:w="849" w:type="dxa"/>
            <w:vAlign w:val="center"/>
          </w:tcPr>
          <w:p w:rsidR="007A7FF4" w:rsidRPr="00210024" w:rsidRDefault="007A7FF4" w:rsidP="00186D70">
            <w:pPr>
              <w:spacing w:after="0"/>
              <w:jc w:val="center"/>
              <w:rPr>
                <w:rFonts w:ascii="Times New Roman" w:hAnsi="Times New Roman" w:cs="Times New Roman"/>
                <w:sz w:val="18"/>
                <w:szCs w:val="18"/>
                <w:rtl/>
              </w:rPr>
            </w:pPr>
            <w:r w:rsidRPr="00210024">
              <w:rPr>
                <w:rFonts w:ascii="Times New Roman" w:hAnsi="Times New Roman" w:cs="Times New Roman"/>
                <w:sz w:val="18"/>
                <w:szCs w:val="18"/>
              </w:rPr>
              <w:t>1,552.5</w:t>
            </w:r>
          </w:p>
        </w:tc>
      </w:tr>
      <w:tr w:rsidR="007A7FF4" w:rsidRPr="00210024" w:rsidTr="00DC3985">
        <w:trPr>
          <w:trHeight w:hRule="exact" w:val="431"/>
          <w:jc w:val="center"/>
        </w:trPr>
        <w:tc>
          <w:tcPr>
            <w:tcW w:w="2518" w:type="dxa"/>
            <w:vAlign w:val="center"/>
          </w:tcPr>
          <w:p w:rsidR="007A7FF4" w:rsidRPr="00210024" w:rsidRDefault="007A7FF4" w:rsidP="00186D70">
            <w:pPr>
              <w:pStyle w:val="BodyText3"/>
              <w:spacing w:after="0"/>
              <w:jc w:val="left"/>
              <w:rPr>
                <w:sz w:val="18"/>
                <w:szCs w:val="18"/>
                <w:lang w:eastAsia="en-US"/>
              </w:rPr>
            </w:pPr>
            <w:r w:rsidRPr="00210024">
              <w:rPr>
                <w:sz w:val="18"/>
                <w:szCs w:val="18"/>
                <w:lang w:eastAsia="en-US"/>
              </w:rPr>
              <w:t>Exports of goods and services</w:t>
            </w:r>
          </w:p>
        </w:tc>
        <w:tc>
          <w:tcPr>
            <w:tcW w:w="1026"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641.1</w:t>
            </w:r>
          </w:p>
        </w:tc>
        <w:tc>
          <w:tcPr>
            <w:tcW w:w="903"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717.1</w:t>
            </w:r>
          </w:p>
        </w:tc>
        <w:tc>
          <w:tcPr>
            <w:tcW w:w="885"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710.3</w:t>
            </w:r>
          </w:p>
        </w:tc>
        <w:tc>
          <w:tcPr>
            <w:tcW w:w="898"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1,016.0</w:t>
            </w:r>
          </w:p>
        </w:tc>
        <w:tc>
          <w:tcPr>
            <w:tcW w:w="898"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1,16</w:t>
            </w:r>
            <w:r w:rsidRPr="00210024">
              <w:rPr>
                <w:rFonts w:ascii="Times New Roman" w:hAnsi="Times New Roman" w:cs="Times New Roman"/>
                <w:sz w:val="18"/>
                <w:szCs w:val="18"/>
                <w:rtl/>
              </w:rPr>
              <w:t>4</w:t>
            </w:r>
            <w:r w:rsidRPr="00210024">
              <w:rPr>
                <w:rFonts w:ascii="Times New Roman" w:hAnsi="Times New Roman" w:cs="Times New Roman"/>
                <w:sz w:val="18"/>
                <w:szCs w:val="18"/>
              </w:rPr>
              <w:t>.</w:t>
            </w:r>
            <w:r w:rsidRPr="00210024">
              <w:rPr>
                <w:rFonts w:ascii="Times New Roman" w:hAnsi="Times New Roman" w:cs="Times New Roman"/>
                <w:sz w:val="18"/>
                <w:szCs w:val="18"/>
                <w:rtl/>
              </w:rPr>
              <w:t>5</w:t>
            </w:r>
          </w:p>
        </w:tc>
        <w:tc>
          <w:tcPr>
            <w:tcW w:w="885"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1,2</w:t>
            </w:r>
            <w:r w:rsidRPr="00210024">
              <w:rPr>
                <w:rFonts w:ascii="Times New Roman" w:hAnsi="Times New Roman" w:cs="Times New Roman"/>
                <w:sz w:val="18"/>
                <w:szCs w:val="18"/>
                <w:rtl/>
              </w:rPr>
              <w:t>10</w:t>
            </w:r>
            <w:r w:rsidRPr="00210024">
              <w:rPr>
                <w:rFonts w:ascii="Times New Roman" w:hAnsi="Times New Roman" w:cs="Times New Roman"/>
                <w:sz w:val="18"/>
                <w:szCs w:val="18"/>
              </w:rPr>
              <w:t>.</w:t>
            </w:r>
            <w:r w:rsidRPr="00210024">
              <w:rPr>
                <w:rFonts w:ascii="Times New Roman" w:hAnsi="Times New Roman" w:cs="Times New Roman"/>
                <w:sz w:val="18"/>
                <w:szCs w:val="18"/>
                <w:rtl/>
              </w:rPr>
              <w:t>6</w:t>
            </w:r>
          </w:p>
        </w:tc>
        <w:tc>
          <w:tcPr>
            <w:tcW w:w="885"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tl/>
              </w:rPr>
              <w:t>1,496.8</w:t>
            </w:r>
          </w:p>
        </w:tc>
        <w:tc>
          <w:tcPr>
            <w:tcW w:w="849" w:type="dxa"/>
            <w:vAlign w:val="center"/>
          </w:tcPr>
          <w:p w:rsidR="007A7FF4" w:rsidRPr="00210024" w:rsidRDefault="007A7FF4" w:rsidP="00186D70">
            <w:pPr>
              <w:spacing w:after="0"/>
              <w:jc w:val="center"/>
              <w:rPr>
                <w:rFonts w:ascii="Times New Roman" w:hAnsi="Times New Roman" w:cs="Times New Roman"/>
                <w:sz w:val="18"/>
                <w:szCs w:val="18"/>
                <w:rtl/>
              </w:rPr>
            </w:pPr>
            <w:r w:rsidRPr="00210024">
              <w:rPr>
                <w:rFonts w:ascii="Times New Roman" w:hAnsi="Times New Roman" w:cs="Times New Roman"/>
                <w:sz w:val="18"/>
                <w:szCs w:val="18"/>
              </w:rPr>
              <w:t>1,600.3</w:t>
            </w:r>
          </w:p>
        </w:tc>
      </w:tr>
      <w:tr w:rsidR="007A7FF4" w:rsidRPr="00210024" w:rsidTr="00DC3985">
        <w:trPr>
          <w:trHeight w:hRule="exact" w:val="431"/>
          <w:jc w:val="center"/>
        </w:trPr>
        <w:tc>
          <w:tcPr>
            <w:tcW w:w="2518" w:type="dxa"/>
            <w:vAlign w:val="center"/>
          </w:tcPr>
          <w:p w:rsidR="007A7FF4" w:rsidRPr="00210024" w:rsidRDefault="007A7FF4" w:rsidP="00186D70">
            <w:pPr>
              <w:pStyle w:val="BodyText3"/>
              <w:spacing w:after="0"/>
              <w:jc w:val="left"/>
              <w:rPr>
                <w:sz w:val="18"/>
                <w:szCs w:val="18"/>
                <w:lang w:eastAsia="en-US"/>
              </w:rPr>
            </w:pPr>
            <w:r w:rsidRPr="00210024">
              <w:rPr>
                <w:sz w:val="18"/>
                <w:szCs w:val="18"/>
                <w:lang w:eastAsia="en-US"/>
              </w:rPr>
              <w:t>imports of goods and services</w:t>
            </w:r>
          </w:p>
        </w:tc>
        <w:tc>
          <w:tcPr>
            <w:tcW w:w="1026"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3,337.8</w:t>
            </w:r>
          </w:p>
        </w:tc>
        <w:tc>
          <w:tcPr>
            <w:tcW w:w="903"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3,618.4</w:t>
            </w:r>
          </w:p>
        </w:tc>
        <w:tc>
          <w:tcPr>
            <w:tcW w:w="885"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3,805.7</w:t>
            </w:r>
          </w:p>
        </w:tc>
        <w:tc>
          <w:tcPr>
            <w:tcW w:w="898"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4,567.3</w:t>
            </w:r>
          </w:p>
        </w:tc>
        <w:tc>
          <w:tcPr>
            <w:tcW w:w="898"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4,739.2</w:t>
            </w:r>
          </w:p>
        </w:tc>
        <w:tc>
          <w:tcPr>
            <w:tcW w:w="885"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5,066.8</w:t>
            </w:r>
          </w:p>
        </w:tc>
        <w:tc>
          <w:tcPr>
            <w:tcW w:w="885" w:type="dxa"/>
            <w:vAlign w:val="center"/>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5,461.7</w:t>
            </w:r>
          </w:p>
        </w:tc>
        <w:tc>
          <w:tcPr>
            <w:tcW w:w="849" w:type="dxa"/>
            <w:vAlign w:val="center"/>
          </w:tcPr>
          <w:p w:rsidR="007A7FF4" w:rsidRPr="00210024" w:rsidRDefault="007A7FF4" w:rsidP="00186D70">
            <w:pPr>
              <w:spacing w:after="0"/>
              <w:jc w:val="center"/>
              <w:rPr>
                <w:rFonts w:ascii="Times New Roman" w:hAnsi="Times New Roman" w:cs="Times New Roman"/>
                <w:sz w:val="18"/>
                <w:szCs w:val="18"/>
                <w:rtl/>
              </w:rPr>
            </w:pPr>
            <w:r w:rsidRPr="00210024">
              <w:rPr>
                <w:rFonts w:ascii="Times New Roman" w:hAnsi="Times New Roman" w:cs="Times New Roman"/>
                <w:sz w:val="18"/>
                <w:szCs w:val="18"/>
              </w:rPr>
              <w:t>5,930.6</w:t>
            </w:r>
          </w:p>
        </w:tc>
      </w:tr>
    </w:tbl>
    <w:p w:rsidR="007A7FF4" w:rsidRPr="00210024" w:rsidRDefault="007A7FF4" w:rsidP="007A7FF4">
      <w:pPr>
        <w:spacing w:after="0"/>
        <w:jc w:val="both"/>
        <w:rPr>
          <w:rFonts w:ascii="Times New Roman" w:hAnsi="Times New Roman" w:cs="Times New Roman"/>
        </w:rPr>
      </w:pPr>
      <w:r w:rsidRPr="00210024">
        <w:rPr>
          <w:rFonts w:ascii="Times New Roman" w:hAnsi="Times New Roman" w:cs="Times New Roman"/>
        </w:rPr>
        <w:t>*</w:t>
      </w:r>
      <w:r w:rsidRPr="00210024">
        <w:rPr>
          <w:rFonts w:ascii="Times New Roman" w:hAnsi="Times New Roman" w:cs="Times New Roman"/>
          <w:color w:val="000000" w:themeColor="text1"/>
          <w:sz w:val="18"/>
          <w:szCs w:val="18"/>
        </w:rPr>
        <w:t xml:space="preserve"> Quarterly preliminary data</w:t>
      </w:r>
    </w:p>
    <w:p w:rsidR="007A7FF4" w:rsidRPr="007D0065" w:rsidRDefault="007A7FF4" w:rsidP="007A7FF4">
      <w:pPr>
        <w:spacing w:after="0"/>
        <w:jc w:val="both"/>
        <w:rPr>
          <w:rFonts w:ascii="Times New Roman" w:hAnsi="Times New Roman" w:cs="Times New Roman"/>
          <w:sz w:val="24"/>
          <w:szCs w:val="24"/>
        </w:rPr>
      </w:pPr>
    </w:p>
    <w:p w:rsidR="007A7FF4" w:rsidRPr="007D0065" w:rsidRDefault="007A7FF4" w:rsidP="007A7FF4">
      <w:pPr>
        <w:spacing w:after="0"/>
        <w:jc w:val="both"/>
        <w:rPr>
          <w:rFonts w:ascii="Times New Roman" w:hAnsi="Times New Roman" w:cs="Times New Roman"/>
          <w:sz w:val="24"/>
          <w:szCs w:val="24"/>
        </w:rPr>
      </w:pPr>
      <w:r w:rsidRPr="007D0065">
        <w:rPr>
          <w:rFonts w:ascii="Times New Roman" w:hAnsi="Times New Roman" w:cs="Times New Roman"/>
          <w:b/>
          <w:bCs/>
          <w:sz w:val="24"/>
          <w:szCs w:val="24"/>
        </w:rPr>
        <w:t xml:space="preserve">Compensations of </w:t>
      </w:r>
      <w:r w:rsidR="00940DEB" w:rsidRPr="007D0065">
        <w:rPr>
          <w:rFonts w:ascii="Times New Roman" w:hAnsi="Times New Roman" w:cs="Times New Roman"/>
          <w:b/>
          <w:bCs/>
          <w:sz w:val="24"/>
          <w:szCs w:val="24"/>
        </w:rPr>
        <w:t>employees</w:t>
      </w:r>
      <w:r w:rsidRPr="007D0065">
        <w:rPr>
          <w:rFonts w:ascii="Times New Roman" w:hAnsi="Times New Roman" w:cs="Times New Roman"/>
          <w:b/>
          <w:bCs/>
          <w:sz w:val="24"/>
          <w:szCs w:val="24"/>
        </w:rPr>
        <w:t xml:space="preserve"> from abroad in 2011 increased by 3.7% reaching 1,117.4 million dollars, compared with 1</w:t>
      </w:r>
      <w:r w:rsidR="00DC3985" w:rsidRPr="007D0065">
        <w:rPr>
          <w:rFonts w:ascii="Times New Roman" w:hAnsi="Times New Roman" w:cs="Times New Roman"/>
          <w:b/>
          <w:bCs/>
          <w:sz w:val="24"/>
          <w:szCs w:val="24"/>
        </w:rPr>
        <w:t>,</w:t>
      </w:r>
      <w:r w:rsidRPr="007D0065">
        <w:rPr>
          <w:rFonts w:ascii="Times New Roman" w:hAnsi="Times New Roman" w:cs="Times New Roman"/>
          <w:b/>
          <w:bCs/>
          <w:sz w:val="24"/>
          <w:szCs w:val="24"/>
        </w:rPr>
        <w:t xml:space="preserve">077.4 </w:t>
      </w:r>
      <w:r w:rsidR="00DC3985" w:rsidRPr="007D0065">
        <w:rPr>
          <w:rFonts w:ascii="Times New Roman" w:hAnsi="Times New Roman" w:cs="Times New Roman"/>
          <w:b/>
          <w:bCs/>
          <w:sz w:val="24"/>
          <w:szCs w:val="24"/>
        </w:rPr>
        <w:t xml:space="preserve">million </w:t>
      </w:r>
      <w:r w:rsidRPr="007D0065">
        <w:rPr>
          <w:rFonts w:ascii="Times New Roman" w:hAnsi="Times New Roman" w:cs="Times New Roman"/>
          <w:b/>
          <w:bCs/>
          <w:sz w:val="24"/>
          <w:szCs w:val="24"/>
        </w:rPr>
        <w:t xml:space="preserve">in 2010. </w:t>
      </w:r>
      <w:r w:rsidRPr="007D0065">
        <w:rPr>
          <w:rFonts w:ascii="Times New Roman" w:hAnsi="Times New Roman" w:cs="Times New Roman"/>
          <w:sz w:val="24"/>
          <w:szCs w:val="24"/>
        </w:rPr>
        <w:t xml:space="preserve">As it appears in the figure below, the level of compensations of </w:t>
      </w:r>
      <w:r w:rsidR="00940DEB" w:rsidRPr="007D0065">
        <w:rPr>
          <w:rFonts w:ascii="Times New Roman" w:hAnsi="Times New Roman" w:cs="Times New Roman"/>
          <w:sz w:val="24"/>
          <w:szCs w:val="24"/>
        </w:rPr>
        <w:t>employees</w:t>
      </w:r>
      <w:r w:rsidRPr="007D0065">
        <w:rPr>
          <w:rFonts w:ascii="Times New Roman" w:hAnsi="Times New Roman" w:cs="Times New Roman"/>
          <w:sz w:val="24"/>
          <w:szCs w:val="24"/>
        </w:rPr>
        <w:t xml:space="preserve"> received from abroad is increasing. Compensations increased since 2004 to 2011</w:t>
      </w:r>
      <w:r w:rsidR="00EE7F53">
        <w:rPr>
          <w:rFonts w:ascii="Times New Roman" w:hAnsi="Times New Roman" w:cs="Times New Roman"/>
          <w:sz w:val="24"/>
          <w:szCs w:val="24"/>
        </w:rPr>
        <w:t xml:space="preserve"> </w:t>
      </w:r>
      <w:r w:rsidRPr="007D0065">
        <w:rPr>
          <w:rFonts w:ascii="Times New Roman" w:hAnsi="Times New Roman" w:cs="Times New Roman"/>
          <w:sz w:val="24"/>
          <w:szCs w:val="24"/>
        </w:rPr>
        <w:t xml:space="preserve">by 165.2%. Compensations of </w:t>
      </w:r>
      <w:r w:rsidR="00940DEB" w:rsidRPr="007D0065">
        <w:rPr>
          <w:rFonts w:ascii="Times New Roman" w:hAnsi="Times New Roman" w:cs="Times New Roman"/>
          <w:sz w:val="24"/>
          <w:szCs w:val="24"/>
        </w:rPr>
        <w:t>employees</w:t>
      </w:r>
      <w:r w:rsidRPr="007D0065">
        <w:rPr>
          <w:rFonts w:ascii="Times New Roman" w:hAnsi="Times New Roman" w:cs="Times New Roman"/>
          <w:sz w:val="24"/>
          <w:szCs w:val="24"/>
        </w:rPr>
        <w:t xml:space="preserve">  reach 92.5% of the total received  income, while the invest</w:t>
      </w:r>
      <w:r w:rsidR="00EE7F53">
        <w:rPr>
          <w:rFonts w:ascii="Times New Roman" w:hAnsi="Times New Roman" w:cs="Times New Roman"/>
          <w:sz w:val="24"/>
          <w:szCs w:val="24"/>
        </w:rPr>
        <w:t>ment income covers the rest. In</w:t>
      </w:r>
      <w:r w:rsidR="00EE7F53" w:rsidRPr="007D0065">
        <w:rPr>
          <w:rFonts w:ascii="Times New Roman" w:hAnsi="Times New Roman" w:cs="Times New Roman"/>
          <w:sz w:val="24"/>
          <w:szCs w:val="24"/>
        </w:rPr>
        <w:t xml:space="preserve"> spite</w:t>
      </w:r>
      <w:r w:rsidRPr="007D0065">
        <w:rPr>
          <w:rFonts w:ascii="Times New Roman" w:hAnsi="Times New Roman" w:cs="Times New Roman"/>
          <w:sz w:val="24"/>
          <w:szCs w:val="24"/>
        </w:rPr>
        <w:t xml:space="preserve"> of the increase in net income, this did not assist in reducing the current account deficit due to the growing deficit in trade balance of goods and services.</w:t>
      </w:r>
    </w:p>
    <w:p w:rsidR="00A66B4C" w:rsidRPr="00FE420F" w:rsidRDefault="007A7FF4" w:rsidP="00FE420F">
      <w:pPr>
        <w:spacing w:after="0"/>
        <w:jc w:val="center"/>
        <w:rPr>
          <w:rFonts w:ascii="Times New Roman" w:hAnsi="Times New Roman" w:cs="Times New Roman"/>
          <w:b/>
          <w:bCs/>
        </w:rPr>
      </w:pPr>
      <w:r w:rsidRPr="00210024">
        <w:rPr>
          <w:rFonts w:ascii="Times New Roman" w:hAnsi="Times New Roman" w:cs="Times New Roman"/>
        </w:rPr>
        <w:br/>
      </w:r>
      <w:r w:rsidRPr="00210024">
        <w:rPr>
          <w:rFonts w:ascii="Times New Roman" w:hAnsi="Times New Roman" w:cs="Times New Roman"/>
        </w:rPr>
        <w:br/>
      </w:r>
      <w:r w:rsidRPr="00186D70">
        <w:rPr>
          <w:rFonts w:ascii="Times New Roman" w:hAnsi="Times New Roman" w:cs="Times New Roman"/>
          <w:b/>
          <w:bCs/>
        </w:rPr>
        <w:t>Figure 1</w:t>
      </w:r>
      <w:r w:rsidR="00186D70" w:rsidRPr="00186D70">
        <w:rPr>
          <w:rFonts w:ascii="Times New Roman" w:hAnsi="Times New Roman" w:cs="Times New Roman"/>
          <w:b/>
          <w:bCs/>
        </w:rPr>
        <w:t>3</w:t>
      </w:r>
      <w:r w:rsidRPr="00186D70">
        <w:rPr>
          <w:rFonts w:ascii="Times New Roman" w:hAnsi="Times New Roman" w:cs="Times New Roman"/>
          <w:b/>
          <w:bCs/>
        </w:rPr>
        <w:t xml:space="preserve">: Compensations of </w:t>
      </w:r>
      <w:r w:rsidR="00940DEB">
        <w:rPr>
          <w:rFonts w:ascii="Times New Roman" w:hAnsi="Times New Roman" w:cs="Times New Roman"/>
          <w:b/>
          <w:bCs/>
        </w:rPr>
        <w:t>employees</w:t>
      </w:r>
      <w:r w:rsidRPr="00186D70">
        <w:rPr>
          <w:rFonts w:ascii="Times New Roman" w:hAnsi="Times New Roman" w:cs="Times New Roman"/>
          <w:b/>
          <w:bCs/>
        </w:rPr>
        <w:t xml:space="preserve"> in the Palestinian </w:t>
      </w:r>
      <w:r w:rsidR="00FE420F">
        <w:rPr>
          <w:rFonts w:ascii="Times New Roman" w:hAnsi="Times New Roman" w:cs="Times New Roman"/>
          <w:b/>
          <w:bCs/>
        </w:rPr>
        <w:t>Territory</w:t>
      </w:r>
      <w:r w:rsidRPr="00186D70">
        <w:rPr>
          <w:rFonts w:ascii="Times New Roman" w:hAnsi="Times New Roman" w:cs="Times New Roman"/>
          <w:b/>
          <w:bCs/>
        </w:rPr>
        <w:t>,</w:t>
      </w:r>
      <w:r w:rsidR="00D325DB">
        <w:rPr>
          <w:rFonts w:ascii="Times New Roman" w:hAnsi="Times New Roman" w:cs="Times New Roman"/>
          <w:b/>
          <w:bCs/>
        </w:rPr>
        <w:t xml:space="preserve"> </w:t>
      </w:r>
      <w:r w:rsidRPr="00186D70">
        <w:rPr>
          <w:rFonts w:ascii="Times New Roman" w:hAnsi="Times New Roman" w:cs="Times New Roman"/>
          <w:b/>
          <w:bCs/>
        </w:rPr>
        <w:t xml:space="preserve"> (2004-2011)</w:t>
      </w:r>
      <w:r w:rsidR="00FE420F">
        <w:rPr>
          <w:rFonts w:ascii="Times New Roman" w:hAnsi="Times New Roman" w:cs="Times New Roman"/>
          <w:b/>
          <w:bCs/>
          <w:sz w:val="18"/>
          <w:szCs w:val="18"/>
        </w:rPr>
        <w:t xml:space="preserve">                         </w:t>
      </w:r>
      <w:r w:rsidRPr="00210024">
        <w:rPr>
          <w:rFonts w:ascii="Times New Roman" w:hAnsi="Times New Roman" w:cs="Times New Roman"/>
          <w:b/>
          <w:bCs/>
          <w:sz w:val="18"/>
          <w:szCs w:val="18"/>
        </w:rPr>
        <w:t xml:space="preserve"> </w:t>
      </w:r>
      <w:r w:rsidR="00A66B4C" w:rsidRPr="00FE420F">
        <w:rPr>
          <w:rFonts w:ascii="Times New Roman" w:hAnsi="Times New Roman" w:cs="Times New Roman"/>
          <w:b/>
          <w:bCs/>
          <w:sz w:val="18"/>
          <w:szCs w:val="18"/>
        </w:rPr>
        <w:t xml:space="preserve">(Value in </w:t>
      </w:r>
      <w:r w:rsidR="004571E6">
        <w:rPr>
          <w:rFonts w:ascii="Times New Roman" w:hAnsi="Times New Roman" w:cs="Times New Roman"/>
          <w:b/>
          <w:bCs/>
          <w:sz w:val="18"/>
          <w:szCs w:val="18"/>
        </w:rPr>
        <w:t>USD</w:t>
      </w:r>
      <w:r w:rsidR="00A66B4C" w:rsidRPr="00FE420F">
        <w:rPr>
          <w:rFonts w:ascii="Times New Roman" w:hAnsi="Times New Roman" w:cs="Times New Roman"/>
          <w:b/>
          <w:bCs/>
          <w:sz w:val="18"/>
          <w:szCs w:val="18"/>
        </w:rPr>
        <w:t xml:space="preserve"> million)</w:t>
      </w:r>
    </w:p>
    <w:p w:rsidR="007A7FF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b/>
          <w:bCs/>
          <w:sz w:val="18"/>
          <w:szCs w:val="18"/>
        </w:rPr>
        <w:br/>
      </w:r>
      <w:r w:rsidRPr="00210024">
        <w:rPr>
          <w:rFonts w:ascii="Times New Roman" w:hAnsi="Times New Roman" w:cs="Times New Roman"/>
          <w:noProof/>
          <w:sz w:val="18"/>
          <w:szCs w:val="18"/>
        </w:rPr>
        <w:drawing>
          <wp:inline distT="0" distB="0" distL="0" distR="0">
            <wp:extent cx="4953946" cy="2721502"/>
            <wp:effectExtent l="19050" t="0" r="18104" b="2648"/>
            <wp:docPr id="15"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F6911" w:rsidRPr="00210024" w:rsidRDefault="00EF6911" w:rsidP="00186D70">
      <w:pPr>
        <w:spacing w:after="0"/>
        <w:jc w:val="center"/>
        <w:rPr>
          <w:rFonts w:ascii="Times New Roman" w:hAnsi="Times New Roman" w:cs="Times New Roman"/>
          <w:sz w:val="18"/>
          <w:szCs w:val="18"/>
        </w:rPr>
      </w:pPr>
    </w:p>
    <w:p w:rsidR="007A7FF4" w:rsidRPr="007D0065" w:rsidRDefault="007A7FF4" w:rsidP="007415E5">
      <w:pPr>
        <w:spacing w:after="0"/>
        <w:jc w:val="both"/>
        <w:rPr>
          <w:rFonts w:ascii="Times New Roman" w:hAnsi="Times New Roman" w:cs="Times New Roman"/>
          <w:sz w:val="24"/>
          <w:szCs w:val="24"/>
        </w:rPr>
      </w:pPr>
      <w:r w:rsidRPr="007D0065">
        <w:rPr>
          <w:rFonts w:ascii="Times New Roman" w:hAnsi="Times New Roman" w:cs="Times New Roman"/>
          <w:b/>
          <w:bCs/>
          <w:sz w:val="24"/>
          <w:szCs w:val="24"/>
        </w:rPr>
        <w:t>Current transfers decreased during 2011 by 37.</w:t>
      </w:r>
      <w:r w:rsidR="00DC3985" w:rsidRPr="007D0065">
        <w:rPr>
          <w:rFonts w:ascii="Times New Roman" w:hAnsi="Times New Roman" w:cs="Times New Roman"/>
          <w:b/>
          <w:bCs/>
          <w:sz w:val="24"/>
          <w:szCs w:val="24"/>
        </w:rPr>
        <w:t>3</w:t>
      </w:r>
      <w:r w:rsidRPr="007D0065">
        <w:rPr>
          <w:rFonts w:ascii="Times New Roman" w:hAnsi="Times New Roman" w:cs="Times New Roman"/>
          <w:b/>
          <w:bCs/>
          <w:sz w:val="24"/>
          <w:szCs w:val="24"/>
        </w:rPr>
        <w:t xml:space="preserve">% reaching </w:t>
      </w:r>
      <w:r w:rsidR="007415E5">
        <w:rPr>
          <w:rFonts w:ascii="Times New Roman" w:hAnsi="Times New Roman" w:cs="Times New Roman"/>
          <w:b/>
          <w:bCs/>
          <w:sz w:val="24"/>
          <w:szCs w:val="24"/>
        </w:rPr>
        <w:t>USD</w:t>
      </w:r>
      <w:r w:rsidRPr="007D0065">
        <w:rPr>
          <w:rFonts w:ascii="Times New Roman" w:hAnsi="Times New Roman" w:cs="Times New Roman"/>
          <w:b/>
          <w:bCs/>
          <w:sz w:val="24"/>
          <w:szCs w:val="24"/>
        </w:rPr>
        <w:t xml:space="preserve"> 1,552.5 million after they were </w:t>
      </w:r>
      <w:r w:rsidR="007415E5">
        <w:rPr>
          <w:rFonts w:ascii="Times New Roman" w:hAnsi="Times New Roman" w:cs="Times New Roman"/>
          <w:b/>
          <w:bCs/>
          <w:sz w:val="24"/>
          <w:szCs w:val="24"/>
        </w:rPr>
        <w:t xml:space="preserve">USD </w:t>
      </w:r>
      <w:r w:rsidRPr="007D0065">
        <w:rPr>
          <w:rFonts w:ascii="Times New Roman" w:hAnsi="Times New Roman" w:cs="Times New Roman"/>
          <w:b/>
          <w:bCs/>
          <w:sz w:val="24"/>
          <w:szCs w:val="24"/>
        </w:rPr>
        <w:t xml:space="preserve">2,476.5 million in 2010. </w:t>
      </w:r>
      <w:r w:rsidRPr="007D0065">
        <w:rPr>
          <w:rFonts w:ascii="Times New Roman" w:hAnsi="Times New Roman" w:cs="Times New Roman"/>
          <w:sz w:val="24"/>
          <w:szCs w:val="24"/>
        </w:rPr>
        <w:t xml:space="preserve">The Palestinian economy mainly depend on foreign remittances received by the Palestinian National Authority to support the general budget and the external transfers to the private sector. Foreign remittances to the Palestinian National </w:t>
      </w:r>
      <w:r w:rsidRPr="007D0065">
        <w:rPr>
          <w:rFonts w:ascii="Times New Roman" w:hAnsi="Times New Roman" w:cs="Times New Roman"/>
          <w:sz w:val="24"/>
          <w:szCs w:val="24"/>
        </w:rPr>
        <w:lastRenderedPageBreak/>
        <w:t xml:space="preserve">Authority decreased </w:t>
      </w:r>
      <w:r w:rsidR="00DC3985" w:rsidRPr="007D0065">
        <w:rPr>
          <w:rFonts w:ascii="Times New Roman" w:hAnsi="Times New Roman" w:cs="Times New Roman"/>
          <w:sz w:val="24"/>
          <w:szCs w:val="24"/>
        </w:rPr>
        <w:t>in 2011 compared with 2010</w:t>
      </w:r>
      <w:r w:rsidRPr="007D0065">
        <w:rPr>
          <w:rFonts w:ascii="Times New Roman" w:hAnsi="Times New Roman" w:cs="Times New Roman"/>
          <w:sz w:val="24"/>
          <w:szCs w:val="24"/>
        </w:rPr>
        <w:t xml:space="preserve">, </w:t>
      </w:r>
      <w:r w:rsidR="00DC3985" w:rsidRPr="007D0065">
        <w:rPr>
          <w:rFonts w:ascii="Times New Roman" w:hAnsi="Times New Roman" w:cs="Times New Roman"/>
          <w:sz w:val="24"/>
          <w:szCs w:val="24"/>
        </w:rPr>
        <w:t>in addition to the</w:t>
      </w:r>
      <w:r w:rsidRPr="007D0065">
        <w:rPr>
          <w:rFonts w:ascii="Times New Roman" w:hAnsi="Times New Roman" w:cs="Times New Roman"/>
          <w:sz w:val="24"/>
          <w:szCs w:val="24"/>
        </w:rPr>
        <w:t xml:space="preserve"> current transfers to the private sector decreased from 1262.3 million dollars in 2010 to 825.1 million dollars in 2011 (a decrease of approximately </w:t>
      </w:r>
      <w:r w:rsidR="00FA5ABD">
        <w:rPr>
          <w:rFonts w:ascii="Times New Roman" w:hAnsi="Times New Roman" w:cs="Times New Roman"/>
          <w:sz w:val="24"/>
          <w:szCs w:val="24"/>
        </w:rPr>
        <w:t>34.6</w:t>
      </w:r>
      <w:r w:rsidRPr="007D0065">
        <w:rPr>
          <w:rFonts w:ascii="Times New Roman" w:hAnsi="Times New Roman" w:cs="Times New Roman"/>
          <w:sz w:val="24"/>
          <w:szCs w:val="24"/>
        </w:rPr>
        <w:t>%). Such significant drop in current transfers from donor countries resulted in increasing the debts of the Palestinian National Authority.</w:t>
      </w:r>
    </w:p>
    <w:p w:rsidR="007A7FF4" w:rsidRPr="007D0065" w:rsidRDefault="007A7FF4" w:rsidP="007E12A0">
      <w:pPr>
        <w:spacing w:after="0"/>
        <w:jc w:val="both"/>
        <w:rPr>
          <w:rFonts w:ascii="Times New Roman" w:hAnsi="Times New Roman" w:cs="Times New Roman"/>
          <w:sz w:val="24"/>
          <w:szCs w:val="24"/>
        </w:rPr>
      </w:pPr>
      <w:r w:rsidRPr="007D0065">
        <w:rPr>
          <w:rFonts w:ascii="Times New Roman" w:hAnsi="Times New Roman" w:cs="Times New Roman"/>
          <w:sz w:val="24"/>
          <w:szCs w:val="24"/>
        </w:rPr>
        <w:br/>
      </w:r>
      <w:r w:rsidRPr="007D0065">
        <w:rPr>
          <w:rFonts w:ascii="Times New Roman" w:hAnsi="Times New Roman" w:cs="Times New Roman"/>
          <w:b/>
          <w:bCs/>
          <w:sz w:val="24"/>
          <w:szCs w:val="24"/>
        </w:rPr>
        <w:t xml:space="preserve">On the other hand, capital transfers decreased by 49.7% reaching </w:t>
      </w:r>
      <w:r w:rsidR="007E12A0">
        <w:rPr>
          <w:rFonts w:ascii="Times New Roman" w:hAnsi="Times New Roman" w:cs="Times New Roman"/>
          <w:b/>
          <w:bCs/>
          <w:sz w:val="24"/>
          <w:szCs w:val="24"/>
        </w:rPr>
        <w:t xml:space="preserve">USD </w:t>
      </w:r>
      <w:r w:rsidRPr="007D0065">
        <w:rPr>
          <w:rFonts w:ascii="Times New Roman" w:hAnsi="Times New Roman" w:cs="Times New Roman"/>
          <w:b/>
          <w:bCs/>
          <w:sz w:val="24"/>
          <w:szCs w:val="24"/>
        </w:rPr>
        <w:t xml:space="preserve">425.9 million in 2011 compared to </w:t>
      </w:r>
      <w:r w:rsidR="007E12A0">
        <w:rPr>
          <w:rFonts w:ascii="Times New Roman" w:hAnsi="Times New Roman" w:cs="Times New Roman"/>
          <w:b/>
          <w:bCs/>
          <w:sz w:val="24"/>
          <w:szCs w:val="24"/>
        </w:rPr>
        <w:t xml:space="preserve">USD </w:t>
      </w:r>
      <w:r w:rsidRPr="007D0065">
        <w:rPr>
          <w:rFonts w:ascii="Times New Roman" w:hAnsi="Times New Roman" w:cs="Times New Roman"/>
          <w:b/>
          <w:bCs/>
          <w:sz w:val="24"/>
          <w:szCs w:val="24"/>
        </w:rPr>
        <w:t>846.1 million in 2010.</w:t>
      </w:r>
      <w:r w:rsidRPr="007D0065">
        <w:rPr>
          <w:rFonts w:ascii="Times New Roman" w:hAnsi="Times New Roman" w:cs="Times New Roman"/>
          <w:sz w:val="24"/>
          <w:szCs w:val="24"/>
        </w:rPr>
        <w:t xml:space="preserve"> </w:t>
      </w:r>
      <w:r w:rsidR="009405F2">
        <w:rPr>
          <w:rFonts w:ascii="Times New Roman" w:hAnsi="Times New Roman" w:cs="Times New Roman"/>
          <w:sz w:val="24"/>
          <w:szCs w:val="24"/>
        </w:rPr>
        <w:t>C</w:t>
      </w:r>
      <w:r w:rsidRPr="007D0065">
        <w:rPr>
          <w:rFonts w:ascii="Times New Roman" w:hAnsi="Times New Roman" w:cs="Times New Roman"/>
          <w:sz w:val="24"/>
          <w:szCs w:val="24"/>
        </w:rPr>
        <w:t xml:space="preserve">apital transfers fluctuated during the period (2004-2011) reaching its lowest level during 2006 as a result of the political changes in the Palestinian </w:t>
      </w:r>
      <w:r w:rsidR="002C7C30">
        <w:rPr>
          <w:rFonts w:ascii="Times New Roman" w:hAnsi="Times New Roman" w:cs="Times New Roman"/>
          <w:sz w:val="24"/>
          <w:szCs w:val="24"/>
        </w:rPr>
        <w:t>Territory</w:t>
      </w:r>
      <w:r w:rsidRPr="007D0065">
        <w:rPr>
          <w:rFonts w:ascii="Times New Roman" w:hAnsi="Times New Roman" w:cs="Times New Roman"/>
          <w:sz w:val="24"/>
          <w:szCs w:val="24"/>
        </w:rPr>
        <w:t xml:space="preserve"> during that period which affected the economic situation in the Palestinian </w:t>
      </w:r>
      <w:r w:rsidR="002C7C30">
        <w:rPr>
          <w:rFonts w:ascii="Times New Roman" w:hAnsi="Times New Roman" w:cs="Times New Roman"/>
          <w:sz w:val="24"/>
          <w:szCs w:val="24"/>
        </w:rPr>
        <w:t>Territory</w:t>
      </w:r>
      <w:r w:rsidRPr="007D0065">
        <w:rPr>
          <w:rFonts w:ascii="Times New Roman" w:hAnsi="Times New Roman" w:cs="Times New Roman"/>
          <w:sz w:val="24"/>
          <w:szCs w:val="24"/>
        </w:rPr>
        <w:t>. Despite the sharp rise in the value of current transfers during the year 2008,</w:t>
      </w:r>
      <w:r w:rsidR="00FE420F">
        <w:rPr>
          <w:rFonts w:ascii="Times New Roman" w:hAnsi="Times New Roman" w:cs="Times New Roman"/>
          <w:sz w:val="24"/>
          <w:szCs w:val="24"/>
        </w:rPr>
        <w:t xml:space="preserve"> capital transfers decreased to</w:t>
      </w:r>
      <w:r w:rsidRPr="007D0065">
        <w:rPr>
          <w:rFonts w:ascii="Times New Roman" w:hAnsi="Times New Roman" w:cs="Times New Roman"/>
          <w:sz w:val="24"/>
          <w:szCs w:val="24"/>
        </w:rPr>
        <w:t xml:space="preserve"> 397.5 million dollars, as it appears in Figure </w:t>
      </w:r>
      <w:r w:rsidR="00C260E1" w:rsidRPr="007D0065">
        <w:rPr>
          <w:rFonts w:ascii="Times New Roman" w:hAnsi="Times New Roman" w:cs="Times New Roman"/>
          <w:sz w:val="24"/>
          <w:szCs w:val="24"/>
        </w:rPr>
        <w:t>14</w:t>
      </w:r>
      <w:r w:rsidRPr="007D0065">
        <w:rPr>
          <w:rFonts w:ascii="Times New Roman" w:hAnsi="Times New Roman" w:cs="Times New Roman"/>
          <w:sz w:val="24"/>
          <w:szCs w:val="24"/>
        </w:rPr>
        <w:t>.</w:t>
      </w:r>
    </w:p>
    <w:p w:rsidR="007A7FF4" w:rsidRPr="00210024" w:rsidRDefault="007A7FF4" w:rsidP="00C260E1">
      <w:pPr>
        <w:spacing w:after="0"/>
        <w:jc w:val="center"/>
        <w:rPr>
          <w:rFonts w:ascii="Times New Roman" w:hAnsi="Times New Roman" w:cs="Times New Roman"/>
        </w:rPr>
      </w:pPr>
      <w:r w:rsidRPr="00210024">
        <w:rPr>
          <w:rFonts w:ascii="Times New Roman" w:hAnsi="Times New Roman" w:cs="Times New Roman"/>
        </w:rPr>
        <w:br/>
        <w:t>  </w:t>
      </w:r>
      <w:r w:rsidRPr="00210024">
        <w:rPr>
          <w:rFonts w:ascii="Times New Roman" w:hAnsi="Times New Roman" w:cs="Times New Roman"/>
        </w:rPr>
        <w:br/>
      </w:r>
      <w:r w:rsidRPr="00210024">
        <w:rPr>
          <w:rFonts w:ascii="Times New Roman" w:hAnsi="Times New Roman" w:cs="Times New Roman"/>
          <w:b/>
          <w:bCs/>
        </w:rPr>
        <w:t>Figure 1</w:t>
      </w:r>
      <w:r w:rsidR="00186D70">
        <w:rPr>
          <w:rFonts w:ascii="Times New Roman" w:hAnsi="Times New Roman" w:cs="Times New Roman"/>
          <w:b/>
          <w:bCs/>
        </w:rPr>
        <w:t>4</w:t>
      </w:r>
      <w:r w:rsidRPr="00210024">
        <w:rPr>
          <w:rFonts w:ascii="Times New Roman" w:hAnsi="Times New Roman" w:cs="Times New Roman"/>
          <w:b/>
          <w:bCs/>
        </w:rPr>
        <w:t xml:space="preserve">: Current and capital foreign </w:t>
      </w:r>
      <w:r w:rsidR="00C260E1">
        <w:rPr>
          <w:rFonts w:ascii="Times New Roman" w:hAnsi="Times New Roman" w:cs="Times New Roman"/>
          <w:b/>
          <w:bCs/>
        </w:rPr>
        <w:t>transfers</w:t>
      </w:r>
      <w:r w:rsidRPr="00210024">
        <w:rPr>
          <w:rFonts w:ascii="Times New Roman" w:hAnsi="Times New Roman" w:cs="Times New Roman"/>
          <w:b/>
          <w:bCs/>
        </w:rPr>
        <w:t xml:space="preserve"> in the Palestinian </w:t>
      </w:r>
      <w:r w:rsidR="002C7C30">
        <w:rPr>
          <w:rFonts w:ascii="Times New Roman" w:hAnsi="Times New Roman" w:cs="Times New Roman"/>
          <w:b/>
          <w:bCs/>
        </w:rPr>
        <w:t>Territory</w:t>
      </w:r>
      <w:r w:rsidRPr="00210024">
        <w:rPr>
          <w:rFonts w:ascii="Times New Roman" w:hAnsi="Times New Roman" w:cs="Times New Roman"/>
          <w:b/>
          <w:bCs/>
        </w:rPr>
        <w:t xml:space="preserve"> (2004-2011)</w:t>
      </w:r>
      <w:r w:rsidRPr="00210024">
        <w:rPr>
          <w:rFonts w:ascii="Times New Roman" w:hAnsi="Times New Roman" w:cs="Times New Roman"/>
          <w:b/>
          <w:bCs/>
        </w:rPr>
        <w:br/>
      </w:r>
      <w:r w:rsidRPr="00210024">
        <w:rPr>
          <w:rFonts w:ascii="Times New Roman" w:hAnsi="Times New Roman" w:cs="Times New Roman"/>
        </w:rPr>
        <w:t> </w:t>
      </w:r>
      <w:r w:rsidRPr="00210024">
        <w:rPr>
          <w:rFonts w:ascii="Times New Roman" w:hAnsi="Times New Roman" w:cs="Times New Roman"/>
        </w:rPr>
        <w:br/>
        <w:t> </w:t>
      </w:r>
      <w:r w:rsidRPr="00210024">
        <w:rPr>
          <w:rFonts w:ascii="Times New Roman" w:hAnsi="Times New Roman" w:cs="Times New Roman"/>
          <w:noProof/>
        </w:rPr>
        <w:drawing>
          <wp:inline distT="0" distB="0" distL="0" distR="0">
            <wp:extent cx="4486275" cy="2743200"/>
            <wp:effectExtent l="19050" t="0" r="9525" b="0"/>
            <wp:docPr id="16"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210024">
        <w:rPr>
          <w:rFonts w:ascii="Times New Roman" w:hAnsi="Times New Roman" w:cs="Times New Roman"/>
        </w:rPr>
        <w:br/>
      </w:r>
      <w:r w:rsidRPr="00210024">
        <w:rPr>
          <w:rFonts w:ascii="Times New Roman" w:hAnsi="Times New Roman" w:cs="Times New Roman"/>
        </w:rPr>
        <w:br/>
      </w:r>
      <w:r w:rsidRPr="00210024">
        <w:rPr>
          <w:rFonts w:ascii="Times New Roman" w:hAnsi="Times New Roman" w:cs="Times New Roman"/>
        </w:rPr>
        <w:br/>
      </w:r>
      <w:r w:rsidRPr="00210024">
        <w:rPr>
          <w:rFonts w:ascii="Times New Roman" w:hAnsi="Times New Roman" w:cs="Times New Roman"/>
        </w:rPr>
        <w:br/>
      </w:r>
      <w:r w:rsidRPr="00210024">
        <w:rPr>
          <w:rFonts w:ascii="Times New Roman" w:hAnsi="Times New Roman" w:cs="Times New Roman"/>
        </w:rPr>
        <w:br/>
      </w:r>
      <w:r w:rsidRPr="00210024">
        <w:rPr>
          <w:rFonts w:ascii="Times New Roman" w:hAnsi="Times New Roman" w:cs="Times New Roman"/>
        </w:rPr>
        <w:br/>
      </w:r>
      <w:r w:rsidRPr="00210024">
        <w:rPr>
          <w:rFonts w:ascii="Times New Roman" w:hAnsi="Times New Roman" w:cs="Times New Roman"/>
        </w:rPr>
        <w:br/>
      </w:r>
    </w:p>
    <w:p w:rsidR="007A7FF4" w:rsidRPr="00210024" w:rsidRDefault="007A7FF4" w:rsidP="007A7FF4">
      <w:pPr>
        <w:spacing w:after="0"/>
        <w:jc w:val="center"/>
        <w:rPr>
          <w:rFonts w:ascii="Times New Roman" w:hAnsi="Times New Roman" w:cs="Times New Roman"/>
        </w:rPr>
      </w:pPr>
    </w:p>
    <w:p w:rsidR="00020161" w:rsidRDefault="00020161" w:rsidP="007A7FF4">
      <w:pPr>
        <w:spacing w:after="0"/>
        <w:jc w:val="center"/>
        <w:rPr>
          <w:rFonts w:ascii="Times New Roman" w:hAnsi="Times New Roman" w:cs="Times New Roman"/>
        </w:rPr>
      </w:pPr>
    </w:p>
    <w:p w:rsidR="00020161" w:rsidRDefault="00020161" w:rsidP="007A7FF4">
      <w:pPr>
        <w:spacing w:after="0"/>
        <w:jc w:val="center"/>
        <w:rPr>
          <w:rFonts w:ascii="Times New Roman" w:hAnsi="Times New Roman" w:cs="Times New Roman"/>
        </w:rPr>
      </w:pPr>
    </w:p>
    <w:p w:rsidR="007A7FF4" w:rsidRDefault="007A7FF4" w:rsidP="007D0065">
      <w:pPr>
        <w:spacing w:after="0"/>
        <w:rPr>
          <w:rFonts w:ascii="Times New Roman" w:hAnsi="Times New Roman" w:cs="Times New Roman"/>
        </w:rPr>
      </w:pPr>
    </w:p>
    <w:p w:rsidR="0015694C" w:rsidRDefault="0015694C" w:rsidP="007D0065">
      <w:pPr>
        <w:spacing w:after="0"/>
        <w:rPr>
          <w:rFonts w:ascii="Times New Roman" w:hAnsi="Times New Roman" w:cs="Times New Roman"/>
        </w:rPr>
      </w:pPr>
    </w:p>
    <w:p w:rsidR="0015694C" w:rsidRDefault="0015694C" w:rsidP="007D0065">
      <w:pPr>
        <w:spacing w:after="0"/>
        <w:rPr>
          <w:rFonts w:ascii="Times New Roman" w:hAnsi="Times New Roman" w:cs="Times New Roman"/>
        </w:rPr>
      </w:pPr>
    </w:p>
    <w:p w:rsidR="0015694C" w:rsidRDefault="0015694C" w:rsidP="007D0065">
      <w:pPr>
        <w:spacing w:after="0"/>
        <w:rPr>
          <w:rFonts w:ascii="Times New Roman" w:hAnsi="Times New Roman" w:cs="Times New Roman"/>
        </w:rPr>
      </w:pPr>
    </w:p>
    <w:p w:rsidR="0015694C" w:rsidRDefault="0015694C" w:rsidP="007D0065">
      <w:pPr>
        <w:spacing w:after="0"/>
        <w:rPr>
          <w:rFonts w:ascii="Times New Roman" w:hAnsi="Times New Roman" w:cs="Times New Roman"/>
        </w:rPr>
      </w:pPr>
    </w:p>
    <w:p w:rsidR="00EF6911" w:rsidRDefault="00EF6911" w:rsidP="007A7FF4">
      <w:pPr>
        <w:spacing w:after="0"/>
        <w:jc w:val="both"/>
        <w:rPr>
          <w:rFonts w:ascii="Times New Roman" w:hAnsi="Times New Roman" w:cs="Times New Roman"/>
        </w:rPr>
      </w:pPr>
    </w:p>
    <w:p w:rsidR="007A7FF4" w:rsidRPr="007D0065" w:rsidRDefault="00186D70" w:rsidP="007A7FF4">
      <w:pPr>
        <w:spacing w:after="0"/>
        <w:jc w:val="both"/>
        <w:rPr>
          <w:rFonts w:ascii="Times New Roman" w:hAnsi="Times New Roman" w:cs="Times New Roman"/>
          <w:b/>
          <w:bCs/>
          <w:sz w:val="24"/>
          <w:szCs w:val="24"/>
        </w:rPr>
      </w:pPr>
      <w:r w:rsidRPr="007D0065">
        <w:rPr>
          <w:rFonts w:ascii="Times New Roman" w:hAnsi="Times New Roman" w:cs="Times New Roman"/>
          <w:b/>
          <w:bCs/>
          <w:sz w:val="24"/>
          <w:szCs w:val="24"/>
        </w:rPr>
        <w:lastRenderedPageBreak/>
        <w:t>6</w:t>
      </w:r>
      <w:r w:rsidR="007A7FF4" w:rsidRPr="007D0065">
        <w:rPr>
          <w:rFonts w:ascii="Times New Roman" w:hAnsi="Times New Roman" w:cs="Times New Roman"/>
          <w:b/>
          <w:bCs/>
          <w:sz w:val="24"/>
          <w:szCs w:val="24"/>
        </w:rPr>
        <w:t xml:space="preserve"> - Foreign trade</w:t>
      </w:r>
    </w:p>
    <w:p w:rsidR="007A7FF4" w:rsidRPr="007D0065" w:rsidRDefault="007A7FF4" w:rsidP="00593246">
      <w:pPr>
        <w:spacing w:after="0"/>
        <w:jc w:val="both"/>
        <w:rPr>
          <w:rFonts w:ascii="Times New Roman" w:hAnsi="Times New Roman" w:cs="Times New Roman"/>
          <w:sz w:val="24"/>
          <w:szCs w:val="24"/>
        </w:rPr>
      </w:pPr>
      <w:r w:rsidRPr="007D0065">
        <w:rPr>
          <w:rFonts w:ascii="Times New Roman" w:hAnsi="Times New Roman" w:cs="Times New Roman"/>
          <w:b/>
          <w:bCs/>
          <w:sz w:val="24"/>
          <w:szCs w:val="24"/>
        </w:rPr>
        <w:br/>
        <w:t xml:space="preserve">Total exports of goods and services (in current prices) increased 6.9% in 2011 reaching about </w:t>
      </w:r>
      <w:r w:rsidR="00593246">
        <w:rPr>
          <w:rFonts w:ascii="Times New Roman" w:hAnsi="Times New Roman" w:cs="Times New Roman"/>
          <w:b/>
          <w:bCs/>
          <w:sz w:val="24"/>
          <w:szCs w:val="24"/>
        </w:rPr>
        <w:t xml:space="preserve">USD </w:t>
      </w:r>
      <w:r w:rsidRPr="007D0065">
        <w:rPr>
          <w:rFonts w:ascii="Times New Roman" w:hAnsi="Times New Roman" w:cs="Times New Roman"/>
          <w:b/>
          <w:bCs/>
          <w:sz w:val="24"/>
          <w:szCs w:val="24"/>
        </w:rPr>
        <w:t xml:space="preserve">1,600 million, while total imports by about 7.9% reaching 5,930 million dollars, which resulted in increasing the trade balance deficit by 9.2% compared with 2010 reaching about </w:t>
      </w:r>
      <w:r w:rsidR="00593246">
        <w:rPr>
          <w:rFonts w:ascii="Times New Roman" w:hAnsi="Times New Roman" w:cs="Times New Roman"/>
          <w:b/>
          <w:bCs/>
          <w:sz w:val="24"/>
          <w:szCs w:val="24"/>
        </w:rPr>
        <w:t xml:space="preserve">USD </w:t>
      </w:r>
      <w:r w:rsidRPr="007D0065">
        <w:rPr>
          <w:rFonts w:ascii="Times New Roman" w:hAnsi="Times New Roman" w:cs="Times New Roman"/>
          <w:b/>
          <w:bCs/>
          <w:sz w:val="24"/>
          <w:szCs w:val="24"/>
        </w:rPr>
        <w:t>4</w:t>
      </w:r>
      <w:r w:rsidR="001775C6" w:rsidRPr="007D0065">
        <w:rPr>
          <w:rFonts w:ascii="Times New Roman" w:hAnsi="Times New Roman" w:cs="Times New Roman"/>
          <w:b/>
          <w:bCs/>
          <w:sz w:val="24"/>
          <w:szCs w:val="24"/>
        </w:rPr>
        <w:t>,</w:t>
      </w:r>
      <w:r w:rsidRPr="007D0065">
        <w:rPr>
          <w:rFonts w:ascii="Times New Roman" w:hAnsi="Times New Roman" w:cs="Times New Roman"/>
          <w:b/>
          <w:bCs/>
          <w:sz w:val="24"/>
          <w:szCs w:val="24"/>
        </w:rPr>
        <w:t>330</w:t>
      </w:r>
      <w:r w:rsidR="00BB4C3A">
        <w:rPr>
          <w:rStyle w:val="FootnoteReference"/>
          <w:rFonts w:ascii="Times New Roman" w:hAnsi="Times New Roman" w:cs="Times New Roman"/>
          <w:b/>
          <w:bCs/>
          <w:sz w:val="24"/>
          <w:szCs w:val="24"/>
        </w:rPr>
        <w:footnoteReference w:customMarkFollows="1" w:id="3"/>
        <w:t>1</w:t>
      </w:r>
      <w:r w:rsidR="00DF6233" w:rsidRPr="007D0065">
        <w:rPr>
          <w:rFonts w:ascii="Times New Roman" w:hAnsi="Times New Roman" w:cs="Times New Roman"/>
          <w:b/>
          <w:bCs/>
          <w:sz w:val="24"/>
          <w:szCs w:val="24"/>
        </w:rPr>
        <w:t xml:space="preserve"> million</w:t>
      </w:r>
      <w:r w:rsidRPr="007D0065">
        <w:rPr>
          <w:rFonts w:ascii="Times New Roman" w:hAnsi="Times New Roman" w:cs="Times New Roman"/>
          <w:b/>
          <w:bCs/>
          <w:sz w:val="24"/>
          <w:szCs w:val="24"/>
        </w:rPr>
        <w:t>,</w:t>
      </w:r>
      <w:r w:rsidRPr="007D0065">
        <w:rPr>
          <w:rFonts w:ascii="Times New Roman" w:hAnsi="Times New Roman" w:cs="Times New Roman"/>
          <w:sz w:val="24"/>
          <w:szCs w:val="24"/>
        </w:rPr>
        <w:t xml:space="preserve"> which means that the percentage of the deficit exceeds 73</w:t>
      </w:r>
      <w:r w:rsidR="00DD5B35">
        <w:rPr>
          <w:rFonts w:ascii="Times New Roman" w:hAnsi="Times New Roman" w:cs="Times New Roman"/>
          <w:sz w:val="24"/>
          <w:szCs w:val="24"/>
        </w:rPr>
        <w:t>.0</w:t>
      </w:r>
      <w:r w:rsidRPr="007D0065">
        <w:rPr>
          <w:rFonts w:ascii="Times New Roman" w:hAnsi="Times New Roman" w:cs="Times New Roman"/>
          <w:sz w:val="24"/>
          <w:szCs w:val="24"/>
        </w:rPr>
        <w:t xml:space="preserve">% of imports.  As it appears in </w:t>
      </w:r>
      <w:r w:rsidR="001775C6" w:rsidRPr="007D0065">
        <w:rPr>
          <w:rFonts w:ascii="Times New Roman" w:hAnsi="Times New Roman" w:cs="Times New Roman"/>
          <w:sz w:val="24"/>
          <w:szCs w:val="24"/>
        </w:rPr>
        <w:t>figure</w:t>
      </w:r>
      <w:r w:rsidRPr="007D0065">
        <w:rPr>
          <w:rFonts w:ascii="Times New Roman" w:hAnsi="Times New Roman" w:cs="Times New Roman"/>
          <w:sz w:val="24"/>
          <w:szCs w:val="24"/>
        </w:rPr>
        <w:t xml:space="preserve"> </w:t>
      </w:r>
      <w:r w:rsidR="001775C6" w:rsidRPr="007D0065">
        <w:rPr>
          <w:rFonts w:ascii="Times New Roman" w:hAnsi="Times New Roman" w:cs="Times New Roman"/>
          <w:sz w:val="24"/>
          <w:szCs w:val="24"/>
        </w:rPr>
        <w:t>15</w:t>
      </w:r>
      <w:r w:rsidRPr="007D0065">
        <w:rPr>
          <w:rFonts w:ascii="Times New Roman" w:hAnsi="Times New Roman" w:cs="Times New Roman"/>
          <w:sz w:val="24"/>
          <w:szCs w:val="24"/>
        </w:rPr>
        <w:t xml:space="preserve">, the Palestinian </w:t>
      </w:r>
      <w:r w:rsidR="002C7C30">
        <w:rPr>
          <w:rFonts w:ascii="Times New Roman" w:hAnsi="Times New Roman" w:cs="Times New Roman"/>
          <w:sz w:val="24"/>
          <w:szCs w:val="24"/>
        </w:rPr>
        <w:t>Territory</w:t>
      </w:r>
      <w:r w:rsidRPr="007D0065">
        <w:rPr>
          <w:rFonts w:ascii="Times New Roman" w:hAnsi="Times New Roman" w:cs="Times New Roman"/>
          <w:sz w:val="24"/>
          <w:szCs w:val="24"/>
        </w:rPr>
        <w:t xml:space="preserve"> witnessed</w:t>
      </w:r>
      <w:r w:rsidR="009405F2">
        <w:rPr>
          <w:rFonts w:ascii="Times New Roman" w:hAnsi="Times New Roman" w:cs="Times New Roman"/>
          <w:sz w:val="24"/>
          <w:szCs w:val="24"/>
        </w:rPr>
        <w:t xml:space="preserve">      </w:t>
      </w:r>
      <w:r w:rsidRPr="007D0065">
        <w:rPr>
          <w:rFonts w:ascii="Times New Roman" w:hAnsi="Times New Roman" w:cs="Times New Roman"/>
          <w:sz w:val="24"/>
          <w:szCs w:val="24"/>
        </w:rPr>
        <w:t xml:space="preserve"> a continuous increase in the value of the deficit in the trade balance during the period (2004-2011) as a result of the increase in the value of imports of goods and services more than the increase in the value of exports. The average annual increase in the trade balance deficit reached about 7%.</w:t>
      </w:r>
    </w:p>
    <w:p w:rsidR="007A7FF4" w:rsidRPr="00210024" w:rsidRDefault="007A7FF4" w:rsidP="001775C6">
      <w:pPr>
        <w:spacing w:after="0"/>
        <w:jc w:val="center"/>
        <w:rPr>
          <w:rFonts w:ascii="Times New Roman" w:hAnsi="Times New Roman" w:cs="Times New Roman"/>
          <w:b/>
          <w:bCs/>
        </w:rPr>
      </w:pPr>
      <w:r w:rsidRPr="007D0065">
        <w:rPr>
          <w:rFonts w:ascii="Times New Roman" w:hAnsi="Times New Roman" w:cs="Times New Roman"/>
          <w:sz w:val="24"/>
          <w:szCs w:val="24"/>
        </w:rPr>
        <w:br/>
      </w:r>
      <w:r w:rsidRPr="00210024">
        <w:rPr>
          <w:rFonts w:ascii="Times New Roman" w:hAnsi="Times New Roman" w:cs="Times New Roman"/>
          <w:b/>
          <w:bCs/>
        </w:rPr>
        <w:t>Figure 1</w:t>
      </w:r>
      <w:r w:rsidR="00186D70">
        <w:rPr>
          <w:rFonts w:ascii="Times New Roman" w:hAnsi="Times New Roman" w:cs="Times New Roman"/>
          <w:b/>
          <w:bCs/>
        </w:rPr>
        <w:t>5</w:t>
      </w:r>
      <w:r w:rsidRPr="00210024">
        <w:rPr>
          <w:rFonts w:ascii="Times New Roman" w:hAnsi="Times New Roman" w:cs="Times New Roman"/>
          <w:b/>
          <w:bCs/>
        </w:rPr>
        <w:t xml:space="preserve">: Trade balance of goods and services in the Palestinian </w:t>
      </w:r>
      <w:r w:rsidR="002C7C30">
        <w:rPr>
          <w:rFonts w:ascii="Times New Roman" w:hAnsi="Times New Roman" w:cs="Times New Roman"/>
          <w:b/>
          <w:bCs/>
        </w:rPr>
        <w:t>Territory</w:t>
      </w:r>
      <w:r w:rsidRPr="00210024">
        <w:rPr>
          <w:rFonts w:ascii="Times New Roman" w:hAnsi="Times New Roman" w:cs="Times New Roman"/>
          <w:b/>
          <w:bCs/>
        </w:rPr>
        <w:t xml:space="preserve"> (2004-2011) </w:t>
      </w:r>
    </w:p>
    <w:p w:rsidR="001775C6" w:rsidRDefault="007A7FF4" w:rsidP="001775C6">
      <w:pPr>
        <w:spacing w:after="0"/>
        <w:jc w:val="center"/>
        <w:rPr>
          <w:rFonts w:ascii="Times New Roman" w:hAnsi="Times New Roman" w:cs="Times New Roman"/>
        </w:rPr>
      </w:pPr>
      <w:r w:rsidRPr="00210024">
        <w:rPr>
          <w:rFonts w:ascii="Times New Roman" w:hAnsi="Times New Roman" w:cs="Times New Roman"/>
          <w:b/>
          <w:bCs/>
          <w:noProof/>
        </w:rPr>
        <w:drawing>
          <wp:inline distT="0" distB="0" distL="0" distR="0">
            <wp:extent cx="4644138" cy="2294627"/>
            <wp:effectExtent l="19050" t="0" r="23112" b="0"/>
            <wp:docPr id="17"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775C6" w:rsidRDefault="001775C6" w:rsidP="001775C6">
      <w:pPr>
        <w:spacing w:after="0"/>
        <w:rPr>
          <w:rFonts w:ascii="Times New Roman" w:hAnsi="Times New Roman" w:cs="Times New Roman"/>
        </w:rPr>
      </w:pPr>
      <w:r>
        <w:rPr>
          <w:rFonts w:ascii="Times New Roman" w:hAnsi="Times New Roman" w:cs="Times New Roman"/>
        </w:rPr>
        <w:t xml:space="preserve">                 </w:t>
      </w:r>
    </w:p>
    <w:p w:rsidR="007A7FF4" w:rsidRPr="007D0065" w:rsidRDefault="007A7FF4" w:rsidP="007A7FF4">
      <w:pPr>
        <w:spacing w:after="0"/>
        <w:jc w:val="both"/>
        <w:rPr>
          <w:rFonts w:ascii="Times New Roman" w:hAnsi="Times New Roman" w:cs="Times New Roman"/>
          <w:sz w:val="24"/>
          <w:szCs w:val="24"/>
        </w:rPr>
      </w:pPr>
      <w:r w:rsidRPr="007D0065">
        <w:rPr>
          <w:rFonts w:ascii="Times New Roman" w:hAnsi="Times New Roman" w:cs="Times New Roman"/>
          <w:b/>
          <w:bCs/>
          <w:sz w:val="24"/>
          <w:szCs w:val="24"/>
        </w:rPr>
        <w:t xml:space="preserve">Foreign trade of the Palestinian </w:t>
      </w:r>
      <w:r w:rsidR="002C7C30">
        <w:rPr>
          <w:rFonts w:ascii="Times New Roman" w:hAnsi="Times New Roman" w:cs="Times New Roman"/>
          <w:b/>
          <w:bCs/>
          <w:sz w:val="24"/>
          <w:szCs w:val="24"/>
        </w:rPr>
        <w:t>Territory</w:t>
      </w:r>
      <w:r w:rsidRPr="007D0065">
        <w:rPr>
          <w:rFonts w:ascii="Times New Roman" w:hAnsi="Times New Roman" w:cs="Times New Roman"/>
          <w:b/>
          <w:bCs/>
          <w:sz w:val="24"/>
          <w:szCs w:val="24"/>
        </w:rPr>
        <w:t xml:space="preserve"> is concentrated with “Israel”. Registered imports from “Israel” reached in 2010 69.4% from the total goods imported into the Palestinian </w:t>
      </w:r>
      <w:r w:rsidR="002C7C30">
        <w:rPr>
          <w:rFonts w:ascii="Times New Roman" w:hAnsi="Times New Roman" w:cs="Times New Roman"/>
          <w:b/>
          <w:bCs/>
          <w:sz w:val="24"/>
          <w:szCs w:val="24"/>
        </w:rPr>
        <w:t>Territory</w:t>
      </w:r>
      <w:r w:rsidRPr="007D0065">
        <w:rPr>
          <w:rFonts w:ascii="Times New Roman" w:hAnsi="Times New Roman" w:cs="Times New Roman"/>
          <w:b/>
          <w:bCs/>
          <w:sz w:val="24"/>
          <w:szCs w:val="24"/>
        </w:rPr>
        <w:t xml:space="preserve">. Registered exports to “Israel” reached 92.0% of the total exported goods from the Palestinian </w:t>
      </w:r>
      <w:r w:rsidR="002C7C30">
        <w:rPr>
          <w:rFonts w:ascii="Times New Roman" w:hAnsi="Times New Roman" w:cs="Times New Roman"/>
          <w:b/>
          <w:bCs/>
          <w:sz w:val="24"/>
          <w:szCs w:val="24"/>
        </w:rPr>
        <w:t>Territory</w:t>
      </w:r>
      <w:r w:rsidRPr="007D0065">
        <w:rPr>
          <w:rFonts w:ascii="Times New Roman" w:hAnsi="Times New Roman" w:cs="Times New Roman"/>
          <w:b/>
          <w:bCs/>
          <w:sz w:val="24"/>
          <w:szCs w:val="24"/>
        </w:rPr>
        <w:t>.  This refers to the fact that the Palestinian economy is under control of “Israel” as a result of controlling and running of the crossings by the Israeli occupation, in addition to the obstacles and procedures set by the Israeli occupation against the Palestinian exports.</w:t>
      </w:r>
    </w:p>
    <w:p w:rsidR="00020161" w:rsidRDefault="007A7FF4" w:rsidP="009405F2">
      <w:pPr>
        <w:spacing w:after="0"/>
        <w:jc w:val="both"/>
        <w:rPr>
          <w:rFonts w:ascii="Times New Roman" w:hAnsi="Times New Roman" w:cs="Times New Roman"/>
          <w:sz w:val="24"/>
          <w:szCs w:val="24"/>
        </w:rPr>
      </w:pPr>
      <w:r w:rsidRPr="007D0065">
        <w:rPr>
          <w:rFonts w:ascii="Times New Roman" w:hAnsi="Times New Roman" w:cs="Times New Roman"/>
          <w:sz w:val="24"/>
          <w:szCs w:val="24"/>
        </w:rPr>
        <w:br/>
      </w:r>
      <w:r w:rsidRPr="007D0065">
        <w:rPr>
          <w:rFonts w:ascii="Times New Roman" w:hAnsi="Times New Roman" w:cs="Times New Roman"/>
          <w:b/>
          <w:bCs/>
          <w:sz w:val="24"/>
          <w:szCs w:val="24"/>
        </w:rPr>
        <w:t>Palestinian imports and exports are concentrated in a specific set of goods</w:t>
      </w:r>
      <w:r w:rsidRPr="007D0065">
        <w:rPr>
          <w:rFonts w:ascii="Times New Roman" w:hAnsi="Times New Roman" w:cs="Times New Roman"/>
          <w:sz w:val="24"/>
          <w:szCs w:val="24"/>
        </w:rPr>
        <w:t xml:space="preserve">. As it appears in Table </w:t>
      </w:r>
      <w:r w:rsidR="001775C6" w:rsidRPr="007D0065">
        <w:rPr>
          <w:rFonts w:ascii="Times New Roman" w:hAnsi="Times New Roman" w:cs="Times New Roman"/>
          <w:sz w:val="24"/>
          <w:szCs w:val="24"/>
        </w:rPr>
        <w:t>8</w:t>
      </w:r>
      <w:r w:rsidRPr="007D0065">
        <w:rPr>
          <w:rFonts w:ascii="Times New Roman" w:hAnsi="Times New Roman" w:cs="Times New Roman"/>
          <w:sz w:val="24"/>
          <w:szCs w:val="24"/>
        </w:rPr>
        <w:t xml:space="preserve">, ten goods (out of 4349 items were imported in 2010) formed about third of imports to the Palestinian </w:t>
      </w:r>
      <w:r w:rsidR="002C7C30">
        <w:rPr>
          <w:rFonts w:ascii="Times New Roman" w:hAnsi="Times New Roman" w:cs="Times New Roman"/>
          <w:sz w:val="24"/>
          <w:szCs w:val="24"/>
        </w:rPr>
        <w:t>Territory</w:t>
      </w:r>
      <w:r w:rsidRPr="007D0065">
        <w:rPr>
          <w:rFonts w:ascii="Times New Roman" w:hAnsi="Times New Roman" w:cs="Times New Roman"/>
          <w:sz w:val="24"/>
          <w:szCs w:val="24"/>
        </w:rPr>
        <w:t xml:space="preserve">. Fuel oil (diesel) is on top of these items </w:t>
      </w:r>
      <w:r w:rsidR="001775C6" w:rsidRPr="007D0065">
        <w:rPr>
          <w:rFonts w:ascii="Times New Roman" w:hAnsi="Times New Roman" w:cs="Times New Roman"/>
          <w:sz w:val="24"/>
          <w:szCs w:val="24"/>
        </w:rPr>
        <w:t>10.8</w:t>
      </w:r>
      <w:r w:rsidRPr="007D0065">
        <w:rPr>
          <w:rFonts w:ascii="Times New Roman" w:hAnsi="Times New Roman" w:cs="Times New Roman"/>
          <w:sz w:val="24"/>
          <w:szCs w:val="24"/>
        </w:rPr>
        <w:t xml:space="preserve">%, natural gas (5.5%) and gasoline (5.3%). These three items constitute 21.6% of the import bill. The top ten goods exported outside of the Palestinian </w:t>
      </w:r>
      <w:r w:rsidR="002C7C30">
        <w:rPr>
          <w:rFonts w:ascii="Times New Roman" w:hAnsi="Times New Roman" w:cs="Times New Roman"/>
          <w:sz w:val="24"/>
          <w:szCs w:val="24"/>
        </w:rPr>
        <w:t>Territory</w:t>
      </w:r>
      <w:r w:rsidRPr="007D0065">
        <w:rPr>
          <w:rFonts w:ascii="Times New Roman" w:hAnsi="Times New Roman" w:cs="Times New Roman"/>
          <w:sz w:val="24"/>
          <w:szCs w:val="24"/>
        </w:rPr>
        <w:t xml:space="preserve"> reached 40.8% of the total exported goods (958 items). At the top of the exported goods, as it appears in Table </w:t>
      </w:r>
      <w:r w:rsidR="001775C6" w:rsidRPr="007D0065">
        <w:rPr>
          <w:rFonts w:ascii="Times New Roman" w:hAnsi="Times New Roman" w:cs="Times New Roman"/>
          <w:sz w:val="24"/>
          <w:szCs w:val="24"/>
        </w:rPr>
        <w:t>9</w:t>
      </w:r>
      <w:r w:rsidRPr="007D0065">
        <w:rPr>
          <w:rFonts w:ascii="Times New Roman" w:hAnsi="Times New Roman" w:cs="Times New Roman"/>
          <w:sz w:val="24"/>
          <w:szCs w:val="24"/>
        </w:rPr>
        <w:t xml:space="preserve">, the building blocks that represent 12.3% of the total registered exports, followed by marble 4.9% and </w:t>
      </w:r>
      <w:r w:rsidR="001775C6" w:rsidRPr="007D0065">
        <w:rPr>
          <w:rFonts w:ascii="Times New Roman" w:hAnsi="Times New Roman" w:cs="Times New Roman"/>
          <w:sz w:val="24"/>
          <w:szCs w:val="24"/>
          <w:lang w:eastAsia="ar-SA"/>
        </w:rPr>
        <w:t xml:space="preserve">Remelting scrap </w:t>
      </w:r>
      <w:r w:rsidRPr="007D0065">
        <w:rPr>
          <w:rFonts w:ascii="Times New Roman" w:hAnsi="Times New Roman" w:cs="Times New Roman"/>
          <w:sz w:val="24"/>
          <w:szCs w:val="24"/>
        </w:rPr>
        <w:t xml:space="preserve">by 4.1%, then </w:t>
      </w:r>
      <w:r w:rsidR="001775C6" w:rsidRPr="007D0065">
        <w:rPr>
          <w:rFonts w:ascii="Times New Roman" w:hAnsi="Times New Roman" w:cs="Times New Roman"/>
          <w:sz w:val="24"/>
          <w:szCs w:val="24"/>
          <w:lang w:eastAsia="ar-SA"/>
        </w:rPr>
        <w:t>Sacks and bags of polymers ethylene</w:t>
      </w:r>
      <w:r w:rsidR="001775C6" w:rsidRPr="007D0065">
        <w:rPr>
          <w:rFonts w:ascii="Times New Roman" w:hAnsi="Times New Roman" w:cs="Times New Roman"/>
          <w:sz w:val="24"/>
          <w:szCs w:val="24"/>
        </w:rPr>
        <w:t xml:space="preserve"> </w:t>
      </w:r>
      <w:r w:rsidRPr="007D0065">
        <w:rPr>
          <w:rFonts w:ascii="Times New Roman" w:hAnsi="Times New Roman" w:cs="Times New Roman"/>
          <w:sz w:val="24"/>
          <w:szCs w:val="24"/>
        </w:rPr>
        <w:t>by 4.0%.</w:t>
      </w:r>
    </w:p>
    <w:p w:rsidR="00DA653C" w:rsidRPr="00BB4C3A" w:rsidRDefault="00DA653C" w:rsidP="00BB4C3A">
      <w:pPr>
        <w:spacing w:after="0"/>
        <w:jc w:val="both"/>
        <w:rPr>
          <w:rFonts w:ascii="Times New Roman" w:hAnsi="Times New Roman" w:cs="Times New Roman"/>
          <w:sz w:val="24"/>
          <w:szCs w:val="24"/>
        </w:rPr>
      </w:pPr>
    </w:p>
    <w:p w:rsidR="007A7FF4" w:rsidRPr="00210024" w:rsidRDefault="007A7FF4" w:rsidP="00186D70">
      <w:pPr>
        <w:spacing w:after="0"/>
        <w:jc w:val="both"/>
        <w:rPr>
          <w:rFonts w:ascii="Times New Roman" w:hAnsi="Times New Roman" w:cs="Times New Roman"/>
          <w:b/>
          <w:bCs/>
          <w:i/>
          <w:iCs/>
        </w:rPr>
      </w:pPr>
      <w:r w:rsidRPr="00210024">
        <w:rPr>
          <w:rFonts w:ascii="Times New Roman" w:hAnsi="Times New Roman" w:cs="Times New Roman"/>
          <w:b/>
          <w:bCs/>
        </w:rPr>
        <w:t xml:space="preserve">Table </w:t>
      </w:r>
      <w:r w:rsidR="00186D70">
        <w:rPr>
          <w:rFonts w:ascii="Times New Roman" w:hAnsi="Times New Roman" w:cs="Times New Roman"/>
          <w:b/>
          <w:bCs/>
        </w:rPr>
        <w:t>8</w:t>
      </w:r>
      <w:r w:rsidR="00DA653C">
        <w:rPr>
          <w:rFonts w:ascii="Times New Roman" w:hAnsi="Times New Roman" w:cs="Times New Roman"/>
          <w:b/>
          <w:bCs/>
        </w:rPr>
        <w:t>:</w:t>
      </w:r>
      <w:r w:rsidRPr="00210024">
        <w:rPr>
          <w:rFonts w:ascii="Times New Roman" w:hAnsi="Times New Roman" w:cs="Times New Roman"/>
          <w:b/>
          <w:bCs/>
        </w:rPr>
        <w:t xml:space="preserve"> Top ten registered goods imported from abroad to the Palestinian </w:t>
      </w:r>
      <w:r w:rsidR="002C7C30">
        <w:rPr>
          <w:rFonts w:ascii="Times New Roman" w:hAnsi="Times New Roman" w:cs="Times New Roman"/>
          <w:b/>
          <w:bCs/>
        </w:rPr>
        <w:t>Territory</w:t>
      </w:r>
      <w:r w:rsidRPr="00210024">
        <w:rPr>
          <w:rFonts w:ascii="Times New Roman" w:hAnsi="Times New Roman" w:cs="Times New Roman"/>
          <w:b/>
          <w:bCs/>
        </w:rPr>
        <w:t>, 2010</w:t>
      </w:r>
    </w:p>
    <w:p w:rsidR="007A7FF4" w:rsidRPr="00F22A25" w:rsidRDefault="007A7FF4" w:rsidP="00D4451A">
      <w:pPr>
        <w:spacing w:after="0" w:line="240" w:lineRule="auto"/>
        <w:jc w:val="center"/>
        <w:rPr>
          <w:rFonts w:ascii="Times New Roman" w:hAnsi="Times New Roman" w:cs="Times New Roman"/>
          <w:b/>
          <w:bCs/>
          <w:sz w:val="18"/>
          <w:szCs w:val="18"/>
        </w:rPr>
      </w:pPr>
      <w:r w:rsidRPr="00F22A25">
        <w:rPr>
          <w:rFonts w:ascii="Times New Roman" w:hAnsi="Times New Roman" w:cs="Times New Roman"/>
          <w:b/>
          <w:bCs/>
          <w:sz w:val="18"/>
          <w:szCs w:val="18"/>
        </w:rPr>
        <w:t xml:space="preserve">(Value in </w:t>
      </w:r>
      <w:r w:rsidR="000E0C2C">
        <w:rPr>
          <w:rFonts w:ascii="Times New Roman" w:hAnsi="Times New Roman" w:cs="Times New Roman"/>
          <w:b/>
          <w:bCs/>
          <w:sz w:val="18"/>
          <w:szCs w:val="18"/>
        </w:rPr>
        <w:t>USD</w:t>
      </w:r>
      <w:r w:rsidR="00D4451A" w:rsidRPr="00D4451A">
        <w:rPr>
          <w:rFonts w:ascii="Times New Roman" w:hAnsi="Times New Roman" w:cs="Times New Roman"/>
          <w:b/>
          <w:bCs/>
          <w:sz w:val="18"/>
          <w:szCs w:val="18"/>
        </w:rPr>
        <w:t xml:space="preserve"> </w:t>
      </w:r>
      <w:r w:rsidR="00D4451A" w:rsidRPr="00F22A25">
        <w:rPr>
          <w:rFonts w:ascii="Times New Roman" w:hAnsi="Times New Roman" w:cs="Times New Roman"/>
          <w:b/>
          <w:bCs/>
          <w:sz w:val="18"/>
          <w:szCs w:val="18"/>
        </w:rPr>
        <w:t>Thousands</w:t>
      </w:r>
      <w:r w:rsidRPr="00F22A25">
        <w:rPr>
          <w:rFonts w:ascii="Times New Roman" w:hAnsi="Times New Roman" w:cs="Times New Roman"/>
          <w:b/>
          <w:bCs/>
          <w:sz w:val="18"/>
          <w:szCs w:val="18"/>
        </w:rPr>
        <w:t>)</w:t>
      </w:r>
    </w:p>
    <w:tbl>
      <w:tblPr>
        <w:tblW w:w="9338" w:type="dxa"/>
        <w:jc w:val="center"/>
        <w:tblBorders>
          <w:top w:val="single" w:sz="12" w:space="0" w:color="auto"/>
          <w:bottom w:val="single" w:sz="12" w:space="0" w:color="auto"/>
        </w:tblBorders>
        <w:tblLook w:val="04A0"/>
      </w:tblPr>
      <w:tblGrid>
        <w:gridCol w:w="5206"/>
        <w:gridCol w:w="2225"/>
        <w:gridCol w:w="1907"/>
      </w:tblGrid>
      <w:tr w:rsidR="007A7FF4" w:rsidRPr="00210024" w:rsidTr="00454B42">
        <w:trPr>
          <w:trHeight w:hRule="exact" w:val="750"/>
          <w:jc w:val="center"/>
        </w:trPr>
        <w:tc>
          <w:tcPr>
            <w:tcW w:w="5206" w:type="dxa"/>
            <w:tcBorders>
              <w:top w:val="single" w:sz="12" w:space="0" w:color="auto"/>
              <w:bottom w:val="single" w:sz="12" w:space="0" w:color="auto"/>
            </w:tcBorders>
            <w:vAlign w:val="center"/>
            <w:hideMark/>
          </w:tcPr>
          <w:p w:rsidR="007A7FF4" w:rsidRPr="00210024" w:rsidRDefault="007A7FF4" w:rsidP="00186D70">
            <w:pPr>
              <w:pStyle w:val="Heading3"/>
              <w:spacing w:before="0"/>
              <w:rPr>
                <w:rFonts w:ascii="Times New Roman" w:hAnsi="Times New Roman" w:cs="Times New Roman"/>
                <w:color w:val="auto"/>
                <w:sz w:val="18"/>
                <w:szCs w:val="18"/>
                <w:lang w:eastAsia="ar-SA"/>
              </w:rPr>
            </w:pPr>
            <w:r w:rsidRPr="00210024">
              <w:rPr>
                <w:rFonts w:ascii="Times New Roman" w:hAnsi="Times New Roman" w:cs="Times New Roman"/>
                <w:color w:val="auto"/>
                <w:sz w:val="18"/>
                <w:szCs w:val="18"/>
              </w:rPr>
              <w:t>Goods</w:t>
            </w:r>
          </w:p>
        </w:tc>
        <w:tc>
          <w:tcPr>
            <w:tcW w:w="2225" w:type="dxa"/>
            <w:tcBorders>
              <w:top w:val="single" w:sz="12" w:space="0" w:color="auto"/>
              <w:bottom w:val="single" w:sz="12" w:space="0" w:color="auto"/>
            </w:tcBorders>
            <w:vAlign w:val="center"/>
            <w:hideMark/>
          </w:tcPr>
          <w:p w:rsidR="007A7FF4" w:rsidRPr="00210024" w:rsidRDefault="007A7FF4" w:rsidP="00186D70">
            <w:pPr>
              <w:pStyle w:val="Heading3"/>
              <w:spacing w:before="0"/>
              <w:ind w:left="-108"/>
              <w:rPr>
                <w:rFonts w:ascii="Times New Roman" w:hAnsi="Times New Roman" w:cs="Times New Roman"/>
                <w:color w:val="auto"/>
                <w:sz w:val="18"/>
                <w:szCs w:val="18"/>
                <w:lang w:eastAsia="ar-SA"/>
              </w:rPr>
            </w:pPr>
            <w:r w:rsidRPr="00210024">
              <w:rPr>
                <w:rFonts w:ascii="Times New Roman" w:hAnsi="Times New Roman" w:cs="Times New Roman"/>
                <w:color w:val="auto"/>
                <w:sz w:val="18"/>
                <w:szCs w:val="18"/>
              </w:rPr>
              <w:t xml:space="preserve">Palestinian </w:t>
            </w:r>
            <w:r w:rsidR="002C7C30">
              <w:rPr>
                <w:rFonts w:ascii="Times New Roman" w:hAnsi="Times New Roman" w:cs="Times New Roman"/>
                <w:color w:val="auto"/>
                <w:sz w:val="18"/>
                <w:szCs w:val="18"/>
              </w:rPr>
              <w:t>Territory</w:t>
            </w:r>
          </w:p>
        </w:tc>
        <w:tc>
          <w:tcPr>
            <w:tcW w:w="1907" w:type="dxa"/>
            <w:tcBorders>
              <w:top w:val="single" w:sz="12" w:space="0" w:color="auto"/>
              <w:bottom w:val="single" w:sz="12" w:space="0" w:color="auto"/>
            </w:tcBorders>
            <w:vAlign w:val="center"/>
            <w:hideMark/>
          </w:tcPr>
          <w:p w:rsidR="007A7FF4" w:rsidRPr="00210024" w:rsidRDefault="007A7FF4" w:rsidP="00186D70">
            <w:pPr>
              <w:spacing w:after="0"/>
              <w:jc w:val="center"/>
              <w:rPr>
                <w:rFonts w:ascii="Times New Roman" w:hAnsi="Times New Roman" w:cs="Times New Roman"/>
                <w:b/>
                <w:bCs/>
                <w:sz w:val="18"/>
                <w:szCs w:val="18"/>
                <w:lang w:eastAsia="ar-SA"/>
              </w:rPr>
            </w:pPr>
            <w:r w:rsidRPr="00210024">
              <w:rPr>
                <w:rFonts w:ascii="Times New Roman" w:hAnsi="Times New Roman" w:cs="Times New Roman"/>
                <w:b/>
                <w:bCs/>
                <w:sz w:val="18"/>
                <w:szCs w:val="18"/>
              </w:rPr>
              <w:t>%*</w:t>
            </w:r>
          </w:p>
        </w:tc>
      </w:tr>
      <w:tr w:rsidR="007A7FF4" w:rsidRPr="00210024" w:rsidTr="00454B42">
        <w:trPr>
          <w:trHeight w:hRule="exact" w:val="284"/>
          <w:jc w:val="center"/>
        </w:trPr>
        <w:tc>
          <w:tcPr>
            <w:tcW w:w="5206" w:type="dxa"/>
            <w:tcBorders>
              <w:top w:val="single" w:sz="12" w:space="0" w:color="auto"/>
            </w:tcBorders>
            <w:vAlign w:val="center"/>
          </w:tcPr>
          <w:p w:rsidR="007A7FF4" w:rsidRPr="00210024" w:rsidRDefault="007A7FF4" w:rsidP="00186D70">
            <w:pPr>
              <w:spacing w:after="0"/>
              <w:rPr>
                <w:rFonts w:ascii="Times New Roman" w:hAnsi="Times New Roman" w:cs="Times New Roman"/>
                <w:color w:val="000000" w:themeColor="text1"/>
                <w:sz w:val="18"/>
                <w:szCs w:val="18"/>
                <w:lang w:eastAsia="ar-SA"/>
              </w:rPr>
            </w:pPr>
            <w:r w:rsidRPr="00210024">
              <w:rPr>
                <w:rFonts w:ascii="Times New Roman" w:hAnsi="Times New Roman" w:cs="Times New Roman"/>
                <w:color w:val="000000" w:themeColor="text1"/>
                <w:sz w:val="18"/>
                <w:szCs w:val="18"/>
                <w:lang w:eastAsia="ar-SA"/>
              </w:rPr>
              <w:t xml:space="preserve">Diesel </w:t>
            </w:r>
          </w:p>
        </w:tc>
        <w:tc>
          <w:tcPr>
            <w:tcW w:w="2225" w:type="dxa"/>
            <w:tcBorders>
              <w:top w:val="single" w:sz="12" w:space="0" w:color="auto"/>
            </w:tcBorders>
            <w:vAlign w:val="center"/>
            <w:hideMark/>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426</w:t>
            </w:r>
            <w:r w:rsidRPr="00210024">
              <w:rPr>
                <w:rFonts w:ascii="Times New Roman" w:hAnsi="Times New Roman" w:cs="Times New Roman"/>
                <w:color w:val="000000" w:themeColor="text1"/>
                <w:sz w:val="18"/>
                <w:szCs w:val="18"/>
              </w:rPr>
              <w:t>,</w:t>
            </w:r>
            <w:r w:rsidRPr="00210024">
              <w:rPr>
                <w:rFonts w:ascii="Times New Roman" w:hAnsi="Times New Roman" w:cs="Times New Roman"/>
                <w:color w:val="000000" w:themeColor="text1"/>
                <w:sz w:val="18"/>
                <w:szCs w:val="18"/>
                <w:rtl/>
              </w:rPr>
              <w:t>923</w:t>
            </w:r>
          </w:p>
        </w:tc>
        <w:tc>
          <w:tcPr>
            <w:tcW w:w="1907" w:type="dxa"/>
            <w:tcBorders>
              <w:top w:val="single" w:sz="12" w:space="0" w:color="auto"/>
            </w:tcBorders>
            <w:vAlign w:val="center"/>
            <w:hideMark/>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10.8</w:t>
            </w:r>
          </w:p>
        </w:tc>
      </w:tr>
      <w:tr w:rsidR="007A7FF4" w:rsidRPr="00210024" w:rsidTr="00454B42">
        <w:trPr>
          <w:trHeight w:hRule="exact" w:val="284"/>
          <w:jc w:val="center"/>
        </w:trPr>
        <w:tc>
          <w:tcPr>
            <w:tcW w:w="5206" w:type="dxa"/>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Natural Gas</w:t>
            </w:r>
          </w:p>
        </w:tc>
        <w:tc>
          <w:tcPr>
            <w:tcW w:w="2225" w:type="dxa"/>
            <w:vAlign w:val="center"/>
            <w:hideMark/>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219</w:t>
            </w:r>
            <w:r w:rsidRPr="00210024">
              <w:rPr>
                <w:rFonts w:ascii="Times New Roman" w:hAnsi="Times New Roman" w:cs="Times New Roman"/>
                <w:color w:val="000000" w:themeColor="text1"/>
                <w:sz w:val="18"/>
                <w:szCs w:val="18"/>
              </w:rPr>
              <w:t>,</w:t>
            </w:r>
            <w:r w:rsidRPr="00210024">
              <w:rPr>
                <w:rFonts w:ascii="Times New Roman" w:hAnsi="Times New Roman" w:cs="Times New Roman"/>
                <w:color w:val="000000" w:themeColor="text1"/>
                <w:sz w:val="18"/>
                <w:szCs w:val="18"/>
                <w:rtl/>
              </w:rPr>
              <w:t>618</w:t>
            </w:r>
          </w:p>
        </w:tc>
        <w:tc>
          <w:tcPr>
            <w:tcW w:w="1907"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5.5</w:t>
            </w:r>
          </w:p>
        </w:tc>
      </w:tr>
      <w:tr w:rsidR="007A7FF4" w:rsidRPr="00210024" w:rsidTr="00454B42">
        <w:trPr>
          <w:trHeight w:hRule="exact" w:val="284"/>
          <w:jc w:val="center"/>
        </w:trPr>
        <w:tc>
          <w:tcPr>
            <w:tcW w:w="5206" w:type="dxa"/>
            <w:vAlign w:val="center"/>
            <w:hideMark/>
          </w:tcPr>
          <w:p w:rsidR="007A7FF4" w:rsidRPr="00210024" w:rsidRDefault="007A7FF4" w:rsidP="00186D70">
            <w:pPr>
              <w:spacing w:after="0"/>
              <w:rPr>
                <w:rFonts w:ascii="Times New Roman" w:hAnsi="Times New Roman" w:cs="Times New Roman"/>
                <w:color w:val="FF0000"/>
                <w:sz w:val="18"/>
                <w:szCs w:val="18"/>
                <w:lang w:eastAsia="ar-SA"/>
              </w:rPr>
            </w:pPr>
            <w:r w:rsidRPr="00210024">
              <w:rPr>
                <w:rFonts w:ascii="Times New Roman" w:hAnsi="Times New Roman" w:cs="Times New Roman"/>
                <w:sz w:val="18"/>
                <w:szCs w:val="18"/>
                <w:lang w:eastAsia="ar-SA"/>
              </w:rPr>
              <w:t>Gasoline</w:t>
            </w:r>
          </w:p>
        </w:tc>
        <w:tc>
          <w:tcPr>
            <w:tcW w:w="2225" w:type="dxa"/>
            <w:vAlign w:val="center"/>
            <w:hideMark/>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210</w:t>
            </w:r>
            <w:r w:rsidRPr="00210024">
              <w:rPr>
                <w:rFonts w:ascii="Times New Roman" w:hAnsi="Times New Roman" w:cs="Times New Roman"/>
                <w:color w:val="000000" w:themeColor="text1"/>
                <w:sz w:val="18"/>
                <w:szCs w:val="18"/>
              </w:rPr>
              <w:t>,</w:t>
            </w:r>
            <w:r w:rsidRPr="00210024">
              <w:rPr>
                <w:rFonts w:ascii="Times New Roman" w:hAnsi="Times New Roman" w:cs="Times New Roman"/>
                <w:color w:val="000000" w:themeColor="text1"/>
                <w:sz w:val="18"/>
                <w:szCs w:val="18"/>
                <w:rtl/>
              </w:rPr>
              <w:t>616</w:t>
            </w:r>
          </w:p>
        </w:tc>
        <w:tc>
          <w:tcPr>
            <w:tcW w:w="1907"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5.3</w:t>
            </w:r>
          </w:p>
        </w:tc>
      </w:tr>
      <w:tr w:rsidR="007A7FF4" w:rsidRPr="00210024" w:rsidTr="00454B42">
        <w:trPr>
          <w:trHeight w:hRule="exact" w:val="284"/>
          <w:jc w:val="center"/>
        </w:trPr>
        <w:tc>
          <w:tcPr>
            <w:tcW w:w="5206" w:type="dxa"/>
            <w:vAlign w:val="center"/>
            <w:hideMark/>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Cement</w:t>
            </w:r>
          </w:p>
        </w:tc>
        <w:tc>
          <w:tcPr>
            <w:tcW w:w="2225" w:type="dxa"/>
            <w:vAlign w:val="center"/>
            <w:hideMark/>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111,746</w:t>
            </w:r>
          </w:p>
        </w:tc>
        <w:tc>
          <w:tcPr>
            <w:tcW w:w="1907"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2.8</w:t>
            </w:r>
          </w:p>
        </w:tc>
      </w:tr>
      <w:tr w:rsidR="007A7FF4" w:rsidRPr="00210024" w:rsidTr="00454B42">
        <w:trPr>
          <w:trHeight w:hRule="exact" w:val="284"/>
          <w:jc w:val="center"/>
        </w:trPr>
        <w:tc>
          <w:tcPr>
            <w:tcW w:w="5206" w:type="dxa"/>
            <w:vAlign w:val="center"/>
            <w:hideMark/>
          </w:tcPr>
          <w:p w:rsidR="007A7FF4" w:rsidRPr="00210024" w:rsidRDefault="007A7FF4" w:rsidP="00186D70">
            <w:pPr>
              <w:spacing w:after="0"/>
              <w:rPr>
                <w:rFonts w:ascii="Times New Roman" w:hAnsi="Times New Roman" w:cs="Times New Roman"/>
                <w:color w:val="000000" w:themeColor="text1"/>
                <w:sz w:val="18"/>
                <w:szCs w:val="18"/>
                <w:lang w:eastAsia="ar-SA"/>
              </w:rPr>
            </w:pPr>
            <w:r w:rsidRPr="00210024">
              <w:rPr>
                <w:rFonts w:ascii="Times New Roman" w:hAnsi="Times New Roman" w:cs="Times New Roman"/>
                <w:sz w:val="18"/>
                <w:szCs w:val="18"/>
                <w:lang w:eastAsia="ar-SA"/>
              </w:rPr>
              <w:t>Marble</w:t>
            </w:r>
          </w:p>
        </w:tc>
        <w:tc>
          <w:tcPr>
            <w:tcW w:w="2225" w:type="dxa"/>
            <w:vAlign w:val="center"/>
            <w:hideMark/>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67</w:t>
            </w:r>
            <w:r w:rsidRPr="00210024">
              <w:rPr>
                <w:rFonts w:ascii="Times New Roman" w:hAnsi="Times New Roman" w:cs="Times New Roman"/>
                <w:color w:val="000000" w:themeColor="text1"/>
                <w:sz w:val="18"/>
                <w:szCs w:val="18"/>
              </w:rPr>
              <w:t>,</w:t>
            </w:r>
            <w:r w:rsidRPr="00210024">
              <w:rPr>
                <w:rFonts w:ascii="Times New Roman" w:hAnsi="Times New Roman" w:cs="Times New Roman"/>
                <w:color w:val="000000" w:themeColor="text1"/>
                <w:sz w:val="18"/>
                <w:szCs w:val="18"/>
                <w:rtl/>
              </w:rPr>
              <w:t>725</w:t>
            </w:r>
          </w:p>
        </w:tc>
        <w:tc>
          <w:tcPr>
            <w:tcW w:w="1907"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1.7</w:t>
            </w:r>
          </w:p>
        </w:tc>
      </w:tr>
      <w:tr w:rsidR="007A7FF4" w:rsidRPr="00210024" w:rsidTr="00454B42">
        <w:trPr>
          <w:trHeight w:hRule="exact" w:val="284"/>
          <w:jc w:val="center"/>
        </w:trPr>
        <w:tc>
          <w:tcPr>
            <w:tcW w:w="5206" w:type="dxa"/>
            <w:vAlign w:val="center"/>
            <w:hideMark/>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Preparation of kind used in animal feeding</w:t>
            </w:r>
          </w:p>
        </w:tc>
        <w:tc>
          <w:tcPr>
            <w:tcW w:w="2225" w:type="dxa"/>
            <w:vAlign w:val="center"/>
            <w:hideMark/>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66,60</w:t>
            </w:r>
            <w:r w:rsidRPr="00210024">
              <w:rPr>
                <w:rFonts w:ascii="Times New Roman" w:hAnsi="Times New Roman" w:cs="Times New Roman"/>
                <w:color w:val="000000" w:themeColor="text1"/>
                <w:sz w:val="18"/>
                <w:szCs w:val="18"/>
                <w:rtl/>
              </w:rPr>
              <w:t>6</w:t>
            </w:r>
          </w:p>
        </w:tc>
        <w:tc>
          <w:tcPr>
            <w:tcW w:w="1907"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1.7</w:t>
            </w:r>
          </w:p>
        </w:tc>
      </w:tr>
      <w:tr w:rsidR="007A7FF4" w:rsidRPr="00210024" w:rsidTr="00454B42">
        <w:trPr>
          <w:trHeight w:hRule="exact" w:val="284"/>
          <w:jc w:val="center"/>
        </w:trPr>
        <w:tc>
          <w:tcPr>
            <w:tcW w:w="5206" w:type="dxa"/>
            <w:vAlign w:val="center"/>
            <w:hideMark/>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Cigarettes containing tobacco</w:t>
            </w:r>
          </w:p>
        </w:tc>
        <w:tc>
          <w:tcPr>
            <w:tcW w:w="2225" w:type="dxa"/>
            <w:vAlign w:val="center"/>
            <w:hideMark/>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tl/>
              </w:rPr>
              <w:t>54</w:t>
            </w:r>
            <w:r w:rsidRPr="00210024">
              <w:rPr>
                <w:rFonts w:ascii="Times New Roman" w:hAnsi="Times New Roman" w:cs="Times New Roman"/>
                <w:color w:val="000000" w:themeColor="text1"/>
                <w:sz w:val="18"/>
                <w:szCs w:val="18"/>
              </w:rPr>
              <w:t>,</w:t>
            </w:r>
            <w:r w:rsidRPr="00210024">
              <w:rPr>
                <w:rFonts w:ascii="Times New Roman" w:hAnsi="Times New Roman" w:cs="Times New Roman"/>
                <w:color w:val="000000" w:themeColor="text1"/>
                <w:sz w:val="18"/>
                <w:szCs w:val="18"/>
                <w:rtl/>
              </w:rPr>
              <w:t>259</w:t>
            </w:r>
          </w:p>
        </w:tc>
        <w:tc>
          <w:tcPr>
            <w:tcW w:w="1907"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1.4</w:t>
            </w:r>
          </w:p>
        </w:tc>
      </w:tr>
      <w:tr w:rsidR="007A7FF4" w:rsidRPr="00210024" w:rsidTr="00454B42">
        <w:trPr>
          <w:trHeight w:hRule="exact" w:val="284"/>
          <w:jc w:val="center"/>
        </w:trPr>
        <w:tc>
          <w:tcPr>
            <w:tcW w:w="5206" w:type="dxa"/>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Soft drink</w:t>
            </w:r>
          </w:p>
        </w:tc>
        <w:tc>
          <w:tcPr>
            <w:tcW w:w="2225" w:type="dxa"/>
            <w:vAlign w:val="center"/>
            <w:hideMark/>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3</w:t>
            </w:r>
            <w:r w:rsidRPr="00210024">
              <w:rPr>
                <w:rFonts w:ascii="Times New Roman" w:hAnsi="Times New Roman" w:cs="Times New Roman"/>
                <w:color w:val="000000" w:themeColor="text1"/>
                <w:sz w:val="18"/>
                <w:szCs w:val="18"/>
                <w:rtl/>
              </w:rPr>
              <w:t>9</w:t>
            </w:r>
            <w:r w:rsidRPr="00210024">
              <w:rPr>
                <w:rFonts w:ascii="Times New Roman" w:hAnsi="Times New Roman" w:cs="Times New Roman"/>
                <w:color w:val="000000" w:themeColor="text1"/>
                <w:sz w:val="18"/>
                <w:szCs w:val="18"/>
              </w:rPr>
              <w:t>,</w:t>
            </w:r>
            <w:r w:rsidRPr="00210024">
              <w:rPr>
                <w:rFonts w:ascii="Times New Roman" w:hAnsi="Times New Roman" w:cs="Times New Roman"/>
                <w:color w:val="000000" w:themeColor="text1"/>
                <w:sz w:val="18"/>
                <w:szCs w:val="18"/>
                <w:rtl/>
              </w:rPr>
              <w:t>742</w:t>
            </w:r>
          </w:p>
        </w:tc>
        <w:tc>
          <w:tcPr>
            <w:tcW w:w="1907"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1.0</w:t>
            </w:r>
          </w:p>
        </w:tc>
      </w:tr>
      <w:tr w:rsidR="007A7FF4" w:rsidRPr="00210024" w:rsidTr="00454B42">
        <w:trPr>
          <w:trHeight w:hRule="exact" w:val="302"/>
          <w:jc w:val="center"/>
        </w:trPr>
        <w:tc>
          <w:tcPr>
            <w:tcW w:w="5206" w:type="dxa"/>
            <w:vAlign w:val="center"/>
            <w:hideMark/>
          </w:tcPr>
          <w:p w:rsidR="007A7FF4" w:rsidRPr="00210024" w:rsidRDefault="007A7FF4" w:rsidP="00186D70">
            <w:pPr>
              <w:tabs>
                <w:tab w:val="right" w:pos="4287"/>
              </w:tabs>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Bars and rods of iron</w:t>
            </w:r>
          </w:p>
        </w:tc>
        <w:tc>
          <w:tcPr>
            <w:tcW w:w="2225" w:type="dxa"/>
            <w:vAlign w:val="center"/>
            <w:hideMark/>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3</w:t>
            </w:r>
            <w:r w:rsidRPr="00210024">
              <w:rPr>
                <w:rFonts w:ascii="Times New Roman" w:hAnsi="Times New Roman" w:cs="Times New Roman"/>
                <w:color w:val="000000" w:themeColor="text1"/>
                <w:sz w:val="18"/>
                <w:szCs w:val="18"/>
                <w:rtl/>
              </w:rPr>
              <w:t>9</w:t>
            </w:r>
            <w:r w:rsidRPr="00210024">
              <w:rPr>
                <w:rFonts w:ascii="Times New Roman" w:hAnsi="Times New Roman" w:cs="Times New Roman"/>
                <w:color w:val="000000" w:themeColor="text1"/>
                <w:sz w:val="18"/>
                <w:szCs w:val="18"/>
              </w:rPr>
              <w:t>,</w:t>
            </w:r>
            <w:r w:rsidRPr="00210024">
              <w:rPr>
                <w:rFonts w:ascii="Times New Roman" w:hAnsi="Times New Roman" w:cs="Times New Roman"/>
                <w:color w:val="000000" w:themeColor="text1"/>
                <w:sz w:val="18"/>
                <w:szCs w:val="18"/>
                <w:rtl/>
              </w:rPr>
              <w:t>534</w:t>
            </w:r>
          </w:p>
        </w:tc>
        <w:tc>
          <w:tcPr>
            <w:tcW w:w="1907"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1.0</w:t>
            </w:r>
          </w:p>
        </w:tc>
      </w:tr>
      <w:tr w:rsidR="007A7FF4" w:rsidRPr="00210024" w:rsidTr="00454B42">
        <w:trPr>
          <w:trHeight w:hRule="exact" w:val="284"/>
          <w:jc w:val="center"/>
        </w:trPr>
        <w:tc>
          <w:tcPr>
            <w:tcW w:w="5206" w:type="dxa"/>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Bovines</w:t>
            </w:r>
          </w:p>
        </w:tc>
        <w:tc>
          <w:tcPr>
            <w:tcW w:w="2225" w:type="dxa"/>
            <w:vAlign w:val="center"/>
            <w:hideMark/>
          </w:tcPr>
          <w:p w:rsidR="007A7FF4" w:rsidRPr="00210024" w:rsidRDefault="007A7FF4" w:rsidP="00186D70">
            <w:pPr>
              <w:spacing w:after="0"/>
              <w:jc w:val="center"/>
              <w:rPr>
                <w:rFonts w:ascii="Times New Roman" w:hAnsi="Times New Roman" w:cs="Times New Roman"/>
                <w:color w:val="000000" w:themeColor="text1"/>
                <w:sz w:val="18"/>
                <w:szCs w:val="18"/>
              </w:rPr>
            </w:pPr>
            <w:r w:rsidRPr="00210024">
              <w:rPr>
                <w:rFonts w:ascii="Times New Roman" w:hAnsi="Times New Roman" w:cs="Times New Roman"/>
                <w:color w:val="000000" w:themeColor="text1"/>
                <w:sz w:val="18"/>
                <w:szCs w:val="18"/>
              </w:rPr>
              <w:t>3</w:t>
            </w:r>
            <w:r w:rsidRPr="00210024">
              <w:rPr>
                <w:rFonts w:ascii="Times New Roman" w:hAnsi="Times New Roman" w:cs="Times New Roman"/>
                <w:color w:val="000000" w:themeColor="text1"/>
                <w:sz w:val="18"/>
                <w:szCs w:val="18"/>
                <w:rtl/>
              </w:rPr>
              <w:t>8</w:t>
            </w:r>
            <w:r w:rsidRPr="00210024">
              <w:rPr>
                <w:rFonts w:ascii="Times New Roman" w:hAnsi="Times New Roman" w:cs="Times New Roman"/>
                <w:color w:val="000000" w:themeColor="text1"/>
                <w:sz w:val="18"/>
                <w:szCs w:val="18"/>
              </w:rPr>
              <w:t>,</w:t>
            </w:r>
            <w:r w:rsidRPr="00210024">
              <w:rPr>
                <w:rFonts w:ascii="Times New Roman" w:hAnsi="Times New Roman" w:cs="Times New Roman"/>
                <w:color w:val="000000" w:themeColor="text1"/>
                <w:sz w:val="18"/>
                <w:szCs w:val="18"/>
                <w:rtl/>
              </w:rPr>
              <w:t>541</w:t>
            </w:r>
          </w:p>
        </w:tc>
        <w:tc>
          <w:tcPr>
            <w:tcW w:w="1907"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1.0</w:t>
            </w:r>
          </w:p>
        </w:tc>
      </w:tr>
      <w:tr w:rsidR="007A7FF4" w:rsidRPr="00210024" w:rsidTr="00454B42">
        <w:trPr>
          <w:trHeight w:hRule="exact" w:val="284"/>
          <w:jc w:val="center"/>
        </w:trPr>
        <w:tc>
          <w:tcPr>
            <w:tcW w:w="5206" w:type="dxa"/>
            <w:vAlign w:val="center"/>
            <w:hideMark/>
          </w:tcPr>
          <w:p w:rsidR="007A7FF4" w:rsidRPr="00210024" w:rsidRDefault="007A7FF4" w:rsidP="00186D70">
            <w:pPr>
              <w:spacing w:after="0"/>
              <w:rPr>
                <w:rFonts w:ascii="Times New Roman" w:hAnsi="Times New Roman" w:cs="Times New Roman"/>
                <w:b/>
                <w:bCs/>
                <w:sz w:val="18"/>
                <w:szCs w:val="18"/>
                <w:lang w:eastAsia="ar-SA"/>
              </w:rPr>
            </w:pPr>
            <w:r w:rsidRPr="00210024">
              <w:rPr>
                <w:rFonts w:ascii="Times New Roman" w:hAnsi="Times New Roman" w:cs="Times New Roman"/>
                <w:b/>
                <w:bCs/>
                <w:sz w:val="18"/>
                <w:szCs w:val="18"/>
              </w:rPr>
              <w:t>Total</w:t>
            </w:r>
          </w:p>
        </w:tc>
        <w:tc>
          <w:tcPr>
            <w:tcW w:w="2225" w:type="dxa"/>
            <w:vAlign w:val="center"/>
            <w:hideMark/>
          </w:tcPr>
          <w:p w:rsidR="007A7FF4" w:rsidRPr="00210024" w:rsidRDefault="007A7FF4" w:rsidP="00186D70">
            <w:pPr>
              <w:spacing w:after="0"/>
              <w:jc w:val="center"/>
              <w:rPr>
                <w:rFonts w:ascii="Times New Roman" w:hAnsi="Times New Roman" w:cs="Times New Roman"/>
                <w:b/>
                <w:bCs/>
                <w:color w:val="000000" w:themeColor="text1"/>
                <w:sz w:val="18"/>
                <w:szCs w:val="18"/>
              </w:rPr>
            </w:pPr>
            <w:r w:rsidRPr="00210024">
              <w:rPr>
                <w:rFonts w:ascii="Times New Roman" w:hAnsi="Times New Roman" w:cs="Times New Roman"/>
                <w:b/>
                <w:bCs/>
                <w:color w:val="000000" w:themeColor="text1"/>
                <w:sz w:val="18"/>
                <w:szCs w:val="18"/>
              </w:rPr>
              <w:t>1,275,30</w:t>
            </w:r>
            <w:r w:rsidRPr="00210024">
              <w:rPr>
                <w:rFonts w:ascii="Times New Roman" w:hAnsi="Times New Roman" w:cs="Times New Roman"/>
                <w:b/>
                <w:bCs/>
                <w:color w:val="000000" w:themeColor="text1"/>
                <w:sz w:val="18"/>
                <w:szCs w:val="18"/>
                <w:rtl/>
              </w:rPr>
              <w:t>9</w:t>
            </w:r>
          </w:p>
        </w:tc>
        <w:tc>
          <w:tcPr>
            <w:tcW w:w="1907" w:type="dxa"/>
            <w:vAlign w:val="center"/>
            <w:hideMark/>
          </w:tcPr>
          <w:p w:rsidR="007A7FF4" w:rsidRPr="00210024" w:rsidRDefault="007A7FF4" w:rsidP="00186D70">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32.2</w:t>
            </w:r>
          </w:p>
        </w:tc>
      </w:tr>
    </w:tbl>
    <w:p w:rsidR="007A7FF4" w:rsidRPr="00210024" w:rsidRDefault="007A7FF4" w:rsidP="007A7FF4">
      <w:pPr>
        <w:spacing w:after="0"/>
        <w:rPr>
          <w:rFonts w:ascii="Times New Roman" w:hAnsi="Times New Roman" w:cs="Times New Roman"/>
          <w:sz w:val="18"/>
          <w:szCs w:val="18"/>
          <w:lang w:eastAsia="ar-SA"/>
        </w:rPr>
      </w:pPr>
      <w:r w:rsidRPr="00210024">
        <w:rPr>
          <w:rFonts w:ascii="Times New Roman" w:hAnsi="Times New Roman" w:cs="Times New Roman"/>
          <w:sz w:val="18"/>
          <w:szCs w:val="18"/>
        </w:rPr>
        <w:t>* The percentage for each item is calculated based on the total value of imported goods</w:t>
      </w:r>
    </w:p>
    <w:p w:rsidR="007A7FF4" w:rsidRPr="00210024" w:rsidRDefault="007A7FF4" w:rsidP="007A7FF4">
      <w:pPr>
        <w:spacing w:after="0"/>
        <w:jc w:val="both"/>
        <w:rPr>
          <w:rFonts w:ascii="Times New Roman" w:hAnsi="Times New Roman" w:cs="Times New Roman"/>
        </w:rPr>
      </w:pPr>
    </w:p>
    <w:p w:rsidR="007A7FF4" w:rsidRPr="00210024" w:rsidRDefault="007A7FF4" w:rsidP="00186D70">
      <w:pPr>
        <w:pStyle w:val="Heading2"/>
        <w:spacing w:before="0" w:line="240" w:lineRule="auto"/>
        <w:jc w:val="center"/>
        <w:rPr>
          <w:rFonts w:ascii="Times New Roman" w:hAnsi="Times New Roman" w:cs="Times New Roman"/>
          <w:i/>
          <w:iCs/>
          <w:color w:val="auto"/>
          <w:sz w:val="22"/>
          <w:szCs w:val="22"/>
        </w:rPr>
      </w:pPr>
      <w:r w:rsidRPr="00210024">
        <w:rPr>
          <w:rFonts w:ascii="Times New Roman" w:hAnsi="Times New Roman" w:cs="Times New Roman"/>
          <w:color w:val="auto"/>
          <w:sz w:val="22"/>
          <w:szCs w:val="22"/>
        </w:rPr>
        <w:t xml:space="preserve">Table </w:t>
      </w:r>
      <w:r w:rsidR="00186D70">
        <w:rPr>
          <w:rFonts w:ascii="Times New Roman" w:hAnsi="Times New Roman" w:cs="Times New Roman"/>
          <w:color w:val="auto"/>
          <w:sz w:val="22"/>
          <w:szCs w:val="22"/>
        </w:rPr>
        <w:t>9</w:t>
      </w:r>
      <w:r w:rsidRPr="00210024">
        <w:rPr>
          <w:rFonts w:ascii="Times New Roman" w:hAnsi="Times New Roman" w:cs="Times New Roman"/>
          <w:color w:val="auto"/>
          <w:sz w:val="22"/>
          <w:szCs w:val="22"/>
        </w:rPr>
        <w:t xml:space="preserve">: Top ten registered goods exported to the Palestinian </w:t>
      </w:r>
      <w:r w:rsidR="002C7C30">
        <w:rPr>
          <w:rFonts w:ascii="Times New Roman" w:hAnsi="Times New Roman" w:cs="Times New Roman"/>
          <w:color w:val="auto"/>
          <w:sz w:val="22"/>
          <w:szCs w:val="22"/>
        </w:rPr>
        <w:t>Territory</w:t>
      </w:r>
      <w:r w:rsidRPr="00210024">
        <w:rPr>
          <w:rFonts w:ascii="Times New Roman" w:hAnsi="Times New Roman" w:cs="Times New Roman"/>
          <w:color w:val="auto"/>
          <w:sz w:val="22"/>
          <w:szCs w:val="22"/>
        </w:rPr>
        <w:t xml:space="preserve"> from abroad, 2010</w:t>
      </w:r>
    </w:p>
    <w:p w:rsidR="007A7FF4" w:rsidRPr="00F22A25" w:rsidRDefault="00454B42" w:rsidP="00F64796">
      <w:pPr>
        <w:spacing w:after="0" w:line="240" w:lineRule="auto"/>
        <w:jc w:val="center"/>
        <w:rPr>
          <w:rFonts w:ascii="Times New Roman" w:hAnsi="Times New Roman" w:cs="Times New Roman"/>
          <w:b/>
          <w:bCs/>
          <w:sz w:val="18"/>
          <w:szCs w:val="18"/>
        </w:rPr>
      </w:pPr>
      <w:r w:rsidRPr="00F22A25">
        <w:rPr>
          <w:rFonts w:ascii="Times New Roman" w:hAnsi="Times New Roman" w:cs="Times New Roman"/>
          <w:b/>
          <w:bCs/>
          <w:sz w:val="18"/>
          <w:szCs w:val="18"/>
        </w:rPr>
        <w:t>(</w:t>
      </w:r>
      <w:r w:rsidR="007A7FF4" w:rsidRPr="00F22A25">
        <w:rPr>
          <w:rFonts w:ascii="Times New Roman" w:hAnsi="Times New Roman" w:cs="Times New Roman"/>
          <w:b/>
          <w:bCs/>
          <w:sz w:val="18"/>
          <w:szCs w:val="18"/>
        </w:rPr>
        <w:t xml:space="preserve">Value in </w:t>
      </w:r>
      <w:r w:rsidR="000E0C2C">
        <w:rPr>
          <w:rFonts w:ascii="Times New Roman" w:hAnsi="Times New Roman" w:cs="Times New Roman"/>
          <w:b/>
          <w:bCs/>
          <w:sz w:val="18"/>
          <w:szCs w:val="18"/>
        </w:rPr>
        <w:t>USD</w:t>
      </w:r>
      <w:r w:rsidR="00F64796" w:rsidRPr="00F64796">
        <w:rPr>
          <w:rFonts w:ascii="Times New Roman" w:hAnsi="Times New Roman" w:cs="Times New Roman"/>
          <w:b/>
          <w:bCs/>
          <w:sz w:val="18"/>
          <w:szCs w:val="18"/>
        </w:rPr>
        <w:t xml:space="preserve"> </w:t>
      </w:r>
      <w:r w:rsidR="00F64796" w:rsidRPr="00F22A25">
        <w:rPr>
          <w:rFonts w:ascii="Times New Roman" w:hAnsi="Times New Roman" w:cs="Times New Roman"/>
          <w:b/>
          <w:bCs/>
          <w:sz w:val="18"/>
          <w:szCs w:val="18"/>
        </w:rPr>
        <w:t>Thousands</w:t>
      </w:r>
      <w:r w:rsidRPr="00F22A25">
        <w:rPr>
          <w:rFonts w:ascii="Times New Roman" w:hAnsi="Times New Roman" w:cs="Times New Roman"/>
          <w:b/>
          <w:bCs/>
          <w:sz w:val="18"/>
          <w:szCs w:val="18"/>
        </w:rPr>
        <w:t>)</w:t>
      </w:r>
    </w:p>
    <w:tbl>
      <w:tblPr>
        <w:tblW w:w="9197" w:type="dxa"/>
        <w:jc w:val="center"/>
        <w:tblBorders>
          <w:top w:val="single" w:sz="12" w:space="0" w:color="auto"/>
          <w:bottom w:val="single" w:sz="12" w:space="0" w:color="auto"/>
        </w:tblBorders>
        <w:tblLook w:val="04A0"/>
      </w:tblPr>
      <w:tblGrid>
        <w:gridCol w:w="4784"/>
        <w:gridCol w:w="2816"/>
        <w:gridCol w:w="196"/>
        <w:gridCol w:w="1205"/>
        <w:gridCol w:w="196"/>
      </w:tblGrid>
      <w:tr w:rsidR="007A7FF4" w:rsidRPr="00210024" w:rsidTr="00454B42">
        <w:trPr>
          <w:gridAfter w:val="1"/>
          <w:wAfter w:w="196" w:type="dxa"/>
          <w:trHeight w:hRule="exact" w:val="438"/>
          <w:jc w:val="center"/>
        </w:trPr>
        <w:tc>
          <w:tcPr>
            <w:tcW w:w="4784" w:type="dxa"/>
            <w:tcBorders>
              <w:top w:val="single" w:sz="12" w:space="0" w:color="auto"/>
              <w:bottom w:val="single" w:sz="12" w:space="0" w:color="auto"/>
            </w:tcBorders>
            <w:hideMark/>
          </w:tcPr>
          <w:p w:rsidR="007A7FF4" w:rsidRPr="00210024" w:rsidRDefault="007A7FF4" w:rsidP="00186D70">
            <w:pPr>
              <w:pStyle w:val="Heading3"/>
              <w:spacing w:before="0"/>
              <w:rPr>
                <w:rFonts w:ascii="Times New Roman" w:hAnsi="Times New Roman" w:cs="Times New Roman"/>
                <w:color w:val="auto"/>
                <w:sz w:val="18"/>
                <w:szCs w:val="18"/>
                <w:lang w:eastAsia="ar-SA"/>
              </w:rPr>
            </w:pPr>
            <w:r w:rsidRPr="00210024">
              <w:rPr>
                <w:rFonts w:ascii="Times New Roman" w:hAnsi="Times New Roman" w:cs="Times New Roman"/>
                <w:color w:val="auto"/>
                <w:sz w:val="18"/>
                <w:szCs w:val="18"/>
              </w:rPr>
              <w:t>Goods</w:t>
            </w:r>
          </w:p>
        </w:tc>
        <w:tc>
          <w:tcPr>
            <w:tcW w:w="2816" w:type="dxa"/>
            <w:tcBorders>
              <w:top w:val="single" w:sz="12" w:space="0" w:color="auto"/>
              <w:bottom w:val="single" w:sz="12" w:space="0" w:color="auto"/>
            </w:tcBorders>
            <w:hideMark/>
          </w:tcPr>
          <w:p w:rsidR="007A7FF4" w:rsidRPr="00210024" w:rsidRDefault="007A7FF4" w:rsidP="00186D70">
            <w:pPr>
              <w:pStyle w:val="Heading3"/>
              <w:spacing w:before="0"/>
              <w:rPr>
                <w:rFonts w:ascii="Times New Roman" w:hAnsi="Times New Roman" w:cs="Times New Roman"/>
                <w:color w:val="auto"/>
                <w:sz w:val="18"/>
                <w:szCs w:val="18"/>
                <w:lang w:eastAsia="ar-SA"/>
              </w:rPr>
            </w:pPr>
            <w:r w:rsidRPr="00210024">
              <w:rPr>
                <w:rFonts w:ascii="Times New Roman" w:hAnsi="Times New Roman" w:cs="Times New Roman"/>
                <w:color w:val="auto"/>
                <w:sz w:val="18"/>
                <w:szCs w:val="18"/>
              </w:rPr>
              <w:t xml:space="preserve">Palestinian </w:t>
            </w:r>
            <w:r w:rsidR="002C7C30">
              <w:rPr>
                <w:rFonts w:ascii="Times New Roman" w:hAnsi="Times New Roman" w:cs="Times New Roman"/>
                <w:color w:val="auto"/>
                <w:sz w:val="18"/>
                <w:szCs w:val="18"/>
              </w:rPr>
              <w:t>Territory</w:t>
            </w:r>
          </w:p>
        </w:tc>
        <w:tc>
          <w:tcPr>
            <w:tcW w:w="1401" w:type="dxa"/>
            <w:gridSpan w:val="2"/>
            <w:tcBorders>
              <w:top w:val="single" w:sz="12" w:space="0" w:color="auto"/>
              <w:bottom w:val="single" w:sz="12" w:space="0" w:color="auto"/>
            </w:tcBorders>
            <w:hideMark/>
          </w:tcPr>
          <w:p w:rsidR="007A7FF4" w:rsidRPr="00210024" w:rsidRDefault="007A7FF4" w:rsidP="00186D70">
            <w:pPr>
              <w:spacing w:after="0"/>
              <w:rPr>
                <w:rFonts w:ascii="Times New Roman" w:hAnsi="Times New Roman" w:cs="Times New Roman"/>
                <w:b/>
                <w:bCs/>
                <w:sz w:val="18"/>
                <w:szCs w:val="18"/>
                <w:lang w:eastAsia="ar-SA"/>
              </w:rPr>
            </w:pPr>
            <w:r w:rsidRPr="00210024">
              <w:rPr>
                <w:rFonts w:ascii="Times New Roman" w:hAnsi="Times New Roman" w:cs="Times New Roman"/>
                <w:b/>
                <w:bCs/>
                <w:sz w:val="18"/>
                <w:szCs w:val="18"/>
              </w:rPr>
              <w:t>%*</w:t>
            </w:r>
          </w:p>
        </w:tc>
      </w:tr>
      <w:tr w:rsidR="007A7FF4" w:rsidRPr="00210024" w:rsidTr="00454B42">
        <w:trPr>
          <w:gridAfter w:val="1"/>
          <w:wAfter w:w="196" w:type="dxa"/>
          <w:trHeight w:hRule="exact" w:val="291"/>
          <w:jc w:val="center"/>
        </w:trPr>
        <w:tc>
          <w:tcPr>
            <w:tcW w:w="4784" w:type="dxa"/>
            <w:tcBorders>
              <w:top w:val="single" w:sz="12" w:space="0" w:color="auto"/>
            </w:tcBorders>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Stones</w:t>
            </w:r>
          </w:p>
        </w:tc>
        <w:tc>
          <w:tcPr>
            <w:tcW w:w="2816" w:type="dxa"/>
            <w:tcBorders>
              <w:top w:val="single" w:sz="12" w:space="0" w:color="auto"/>
            </w:tcBorders>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70,621</w:t>
            </w:r>
          </w:p>
        </w:tc>
        <w:tc>
          <w:tcPr>
            <w:tcW w:w="1401" w:type="dxa"/>
            <w:gridSpan w:val="2"/>
            <w:tcBorders>
              <w:top w:val="single" w:sz="12" w:space="0" w:color="auto"/>
            </w:tcBorders>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12.3</w:t>
            </w:r>
          </w:p>
        </w:tc>
      </w:tr>
      <w:tr w:rsidR="007A7FF4" w:rsidRPr="00210024" w:rsidTr="00454B42">
        <w:trPr>
          <w:gridAfter w:val="1"/>
          <w:wAfter w:w="196" w:type="dxa"/>
          <w:trHeight w:hRule="exact" w:val="291"/>
          <w:jc w:val="center"/>
        </w:trPr>
        <w:tc>
          <w:tcPr>
            <w:tcW w:w="4784" w:type="dxa"/>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Marble</w:t>
            </w:r>
          </w:p>
        </w:tc>
        <w:tc>
          <w:tcPr>
            <w:tcW w:w="2816"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28,278</w:t>
            </w:r>
          </w:p>
        </w:tc>
        <w:tc>
          <w:tcPr>
            <w:tcW w:w="1401" w:type="dxa"/>
            <w:gridSpan w:val="2"/>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4.9</w:t>
            </w:r>
          </w:p>
        </w:tc>
      </w:tr>
      <w:tr w:rsidR="007A7FF4" w:rsidRPr="00210024" w:rsidTr="00454B42">
        <w:trPr>
          <w:gridAfter w:val="1"/>
          <w:wAfter w:w="196" w:type="dxa"/>
          <w:trHeight w:hRule="exact" w:val="291"/>
          <w:jc w:val="center"/>
        </w:trPr>
        <w:tc>
          <w:tcPr>
            <w:tcW w:w="4784" w:type="dxa"/>
            <w:vAlign w:val="center"/>
          </w:tcPr>
          <w:p w:rsidR="007A7FF4" w:rsidRPr="00210024" w:rsidRDefault="007A7FF4" w:rsidP="009405F2">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 xml:space="preserve">Remelting scrap </w:t>
            </w:r>
          </w:p>
        </w:tc>
        <w:tc>
          <w:tcPr>
            <w:tcW w:w="2816"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2</w:t>
            </w:r>
            <w:r w:rsidRPr="00210024">
              <w:rPr>
                <w:rFonts w:ascii="Times New Roman" w:hAnsi="Times New Roman" w:cs="Times New Roman"/>
                <w:sz w:val="18"/>
                <w:szCs w:val="18"/>
                <w:rtl/>
              </w:rPr>
              <w:t>3</w:t>
            </w:r>
            <w:r w:rsidRPr="00210024">
              <w:rPr>
                <w:rFonts w:ascii="Times New Roman" w:hAnsi="Times New Roman" w:cs="Times New Roman"/>
                <w:sz w:val="18"/>
                <w:szCs w:val="18"/>
              </w:rPr>
              <w:t>,</w:t>
            </w:r>
            <w:r w:rsidRPr="00210024">
              <w:rPr>
                <w:rFonts w:ascii="Times New Roman" w:hAnsi="Times New Roman" w:cs="Times New Roman"/>
                <w:sz w:val="18"/>
                <w:szCs w:val="18"/>
                <w:rtl/>
              </w:rPr>
              <w:t>752</w:t>
            </w:r>
          </w:p>
        </w:tc>
        <w:tc>
          <w:tcPr>
            <w:tcW w:w="1401" w:type="dxa"/>
            <w:gridSpan w:val="2"/>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4.</w:t>
            </w:r>
            <w:r w:rsidRPr="00210024">
              <w:rPr>
                <w:rFonts w:ascii="Times New Roman" w:hAnsi="Times New Roman" w:cs="Times New Roman"/>
                <w:sz w:val="18"/>
                <w:szCs w:val="18"/>
                <w:rtl/>
              </w:rPr>
              <w:t>1</w:t>
            </w:r>
          </w:p>
        </w:tc>
      </w:tr>
      <w:tr w:rsidR="007A7FF4" w:rsidRPr="00210024" w:rsidTr="00A22E5F">
        <w:trPr>
          <w:trHeight w:hRule="exact" w:val="291"/>
          <w:jc w:val="center"/>
        </w:trPr>
        <w:tc>
          <w:tcPr>
            <w:tcW w:w="4784" w:type="dxa"/>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Sacks and bags of polymers ethylene</w:t>
            </w:r>
          </w:p>
        </w:tc>
        <w:tc>
          <w:tcPr>
            <w:tcW w:w="3012" w:type="dxa"/>
            <w:gridSpan w:val="2"/>
            <w:vAlign w:val="center"/>
            <w:hideMark/>
          </w:tcPr>
          <w:p w:rsidR="007A7FF4" w:rsidRPr="00210024" w:rsidRDefault="00A22E5F" w:rsidP="00A22E5F">
            <w:pPr>
              <w:spacing w:after="0"/>
              <w:rPr>
                <w:rFonts w:ascii="Times New Roman" w:hAnsi="Times New Roman" w:cs="Times New Roman"/>
                <w:sz w:val="18"/>
                <w:szCs w:val="18"/>
              </w:rPr>
            </w:pPr>
            <w:r>
              <w:rPr>
                <w:rFonts w:ascii="Times New Roman" w:hAnsi="Times New Roman" w:cs="Times New Roman"/>
                <w:sz w:val="18"/>
                <w:szCs w:val="18"/>
              </w:rPr>
              <w:t xml:space="preserve">                       </w:t>
            </w:r>
            <w:r w:rsidR="007A7FF4" w:rsidRPr="00210024">
              <w:rPr>
                <w:rFonts w:ascii="Times New Roman" w:hAnsi="Times New Roman" w:cs="Times New Roman"/>
                <w:sz w:val="18"/>
                <w:szCs w:val="18"/>
              </w:rPr>
              <w:t>23,208</w:t>
            </w:r>
            <w:r>
              <w:rPr>
                <w:rFonts w:ascii="Times New Roman" w:hAnsi="Times New Roman" w:cs="Times New Roman"/>
                <w:sz w:val="18"/>
                <w:szCs w:val="18"/>
              </w:rPr>
              <w:t xml:space="preserve">  </w:t>
            </w:r>
          </w:p>
        </w:tc>
        <w:tc>
          <w:tcPr>
            <w:tcW w:w="1401" w:type="dxa"/>
            <w:gridSpan w:val="2"/>
            <w:vAlign w:val="center"/>
            <w:hideMark/>
          </w:tcPr>
          <w:p w:rsidR="007A7FF4" w:rsidRPr="00210024" w:rsidRDefault="007A7FF4" w:rsidP="00A22E5F">
            <w:pPr>
              <w:tabs>
                <w:tab w:val="right" w:pos="459"/>
              </w:tabs>
              <w:spacing w:after="0"/>
              <w:ind w:right="283"/>
              <w:jc w:val="center"/>
              <w:rPr>
                <w:rFonts w:ascii="Times New Roman" w:hAnsi="Times New Roman" w:cs="Times New Roman"/>
                <w:sz w:val="18"/>
                <w:szCs w:val="18"/>
              </w:rPr>
            </w:pPr>
            <w:r w:rsidRPr="00210024">
              <w:rPr>
                <w:rFonts w:ascii="Times New Roman" w:hAnsi="Times New Roman" w:cs="Times New Roman"/>
                <w:sz w:val="18"/>
                <w:szCs w:val="18"/>
                <w:rtl/>
              </w:rPr>
              <w:t>4</w:t>
            </w:r>
            <w:r w:rsidRPr="00210024">
              <w:rPr>
                <w:rFonts w:ascii="Times New Roman" w:hAnsi="Times New Roman" w:cs="Times New Roman"/>
                <w:sz w:val="18"/>
                <w:szCs w:val="18"/>
              </w:rPr>
              <w:t>.</w:t>
            </w:r>
            <w:r w:rsidRPr="00210024">
              <w:rPr>
                <w:rFonts w:ascii="Times New Roman" w:hAnsi="Times New Roman" w:cs="Times New Roman"/>
                <w:sz w:val="18"/>
                <w:szCs w:val="18"/>
                <w:rtl/>
              </w:rPr>
              <w:t>0</w:t>
            </w:r>
            <w:r w:rsidR="00A22E5F">
              <w:rPr>
                <w:rFonts w:ascii="Times New Roman" w:hAnsi="Times New Roman" w:cs="Times New Roman"/>
                <w:sz w:val="18"/>
                <w:szCs w:val="18"/>
              </w:rPr>
              <w:t xml:space="preserve">  </w:t>
            </w:r>
          </w:p>
        </w:tc>
      </w:tr>
      <w:tr w:rsidR="007A7FF4" w:rsidRPr="00210024" w:rsidTr="00454B42">
        <w:trPr>
          <w:gridAfter w:val="1"/>
          <w:wAfter w:w="196" w:type="dxa"/>
          <w:trHeight w:hRule="exact" w:val="291"/>
          <w:jc w:val="center"/>
        </w:trPr>
        <w:tc>
          <w:tcPr>
            <w:tcW w:w="4784" w:type="dxa"/>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Cigarettes containing tobacco</w:t>
            </w:r>
          </w:p>
        </w:tc>
        <w:tc>
          <w:tcPr>
            <w:tcW w:w="2816"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18,550</w:t>
            </w:r>
          </w:p>
        </w:tc>
        <w:tc>
          <w:tcPr>
            <w:tcW w:w="1401" w:type="dxa"/>
            <w:gridSpan w:val="2"/>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tl/>
              </w:rPr>
              <w:t>3.2</w:t>
            </w:r>
          </w:p>
        </w:tc>
      </w:tr>
      <w:tr w:rsidR="007A7FF4" w:rsidRPr="00210024" w:rsidTr="00454B42">
        <w:trPr>
          <w:gridAfter w:val="1"/>
          <w:wAfter w:w="196" w:type="dxa"/>
          <w:trHeight w:hRule="exact" w:val="291"/>
          <w:jc w:val="center"/>
        </w:trPr>
        <w:tc>
          <w:tcPr>
            <w:tcW w:w="4784" w:type="dxa"/>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Medicaments</w:t>
            </w:r>
          </w:p>
        </w:tc>
        <w:tc>
          <w:tcPr>
            <w:tcW w:w="2816"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w:t>
            </w:r>
            <w:r w:rsidRPr="00210024">
              <w:rPr>
                <w:rFonts w:ascii="Times New Roman" w:hAnsi="Times New Roman" w:cs="Times New Roman"/>
                <w:sz w:val="18"/>
                <w:szCs w:val="18"/>
                <w:rtl/>
              </w:rPr>
              <w:t>6</w:t>
            </w:r>
            <w:r w:rsidRPr="00210024">
              <w:rPr>
                <w:rFonts w:ascii="Times New Roman" w:hAnsi="Times New Roman" w:cs="Times New Roman"/>
                <w:sz w:val="18"/>
                <w:szCs w:val="18"/>
              </w:rPr>
              <w:t>,</w:t>
            </w:r>
            <w:r w:rsidRPr="00210024">
              <w:rPr>
                <w:rFonts w:ascii="Times New Roman" w:hAnsi="Times New Roman" w:cs="Times New Roman"/>
                <w:sz w:val="18"/>
                <w:szCs w:val="18"/>
                <w:rtl/>
              </w:rPr>
              <w:t>070</w:t>
            </w:r>
          </w:p>
        </w:tc>
        <w:tc>
          <w:tcPr>
            <w:tcW w:w="1401" w:type="dxa"/>
            <w:gridSpan w:val="2"/>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tl/>
              </w:rPr>
              <w:t>2.8</w:t>
            </w:r>
          </w:p>
        </w:tc>
      </w:tr>
      <w:tr w:rsidR="007A7FF4" w:rsidRPr="00210024" w:rsidTr="00454B42">
        <w:trPr>
          <w:gridAfter w:val="1"/>
          <w:wAfter w:w="196" w:type="dxa"/>
          <w:trHeight w:hRule="exact" w:val="291"/>
          <w:jc w:val="center"/>
        </w:trPr>
        <w:tc>
          <w:tcPr>
            <w:tcW w:w="4784" w:type="dxa"/>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Shoes</w:t>
            </w:r>
          </w:p>
        </w:tc>
        <w:tc>
          <w:tcPr>
            <w:tcW w:w="2816"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tl/>
              </w:rPr>
              <w:t>15</w:t>
            </w:r>
            <w:r w:rsidRPr="00210024">
              <w:rPr>
                <w:rFonts w:ascii="Times New Roman" w:hAnsi="Times New Roman" w:cs="Times New Roman"/>
                <w:sz w:val="18"/>
                <w:szCs w:val="18"/>
              </w:rPr>
              <w:t>,</w:t>
            </w:r>
            <w:r w:rsidRPr="00210024">
              <w:rPr>
                <w:rFonts w:ascii="Times New Roman" w:hAnsi="Times New Roman" w:cs="Times New Roman"/>
                <w:sz w:val="18"/>
                <w:szCs w:val="18"/>
                <w:rtl/>
              </w:rPr>
              <w:t>081</w:t>
            </w:r>
          </w:p>
        </w:tc>
        <w:tc>
          <w:tcPr>
            <w:tcW w:w="1401" w:type="dxa"/>
            <w:gridSpan w:val="2"/>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tl/>
              </w:rPr>
              <w:t>2.6</w:t>
            </w:r>
          </w:p>
        </w:tc>
      </w:tr>
      <w:tr w:rsidR="007A7FF4" w:rsidRPr="00210024" w:rsidTr="00454B42">
        <w:trPr>
          <w:gridAfter w:val="1"/>
          <w:wAfter w:w="196" w:type="dxa"/>
          <w:trHeight w:hRule="exact" w:val="291"/>
          <w:jc w:val="center"/>
        </w:trPr>
        <w:tc>
          <w:tcPr>
            <w:tcW w:w="4784" w:type="dxa"/>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 xml:space="preserve"> Olive oil (VIRGIN)</w:t>
            </w:r>
          </w:p>
        </w:tc>
        <w:tc>
          <w:tcPr>
            <w:tcW w:w="2816"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tl/>
              </w:rPr>
              <w:t>13</w:t>
            </w:r>
            <w:r w:rsidRPr="00210024">
              <w:rPr>
                <w:rFonts w:ascii="Times New Roman" w:hAnsi="Times New Roman" w:cs="Times New Roman"/>
                <w:sz w:val="18"/>
                <w:szCs w:val="18"/>
              </w:rPr>
              <w:t>,</w:t>
            </w:r>
            <w:r w:rsidRPr="00210024">
              <w:rPr>
                <w:rFonts w:ascii="Times New Roman" w:hAnsi="Times New Roman" w:cs="Times New Roman"/>
                <w:sz w:val="18"/>
                <w:szCs w:val="18"/>
                <w:rtl/>
              </w:rPr>
              <w:t>794</w:t>
            </w:r>
          </w:p>
        </w:tc>
        <w:tc>
          <w:tcPr>
            <w:tcW w:w="1401" w:type="dxa"/>
            <w:gridSpan w:val="2"/>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2.4</w:t>
            </w:r>
          </w:p>
        </w:tc>
      </w:tr>
      <w:tr w:rsidR="007A7FF4" w:rsidRPr="00210024" w:rsidTr="00454B42">
        <w:trPr>
          <w:gridAfter w:val="1"/>
          <w:wAfter w:w="196" w:type="dxa"/>
          <w:trHeight w:hRule="exact" w:val="291"/>
          <w:jc w:val="center"/>
        </w:trPr>
        <w:tc>
          <w:tcPr>
            <w:tcW w:w="4784" w:type="dxa"/>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Wooden furniture for bedrooms</w:t>
            </w:r>
          </w:p>
        </w:tc>
        <w:tc>
          <w:tcPr>
            <w:tcW w:w="2816"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12,698</w:t>
            </w:r>
          </w:p>
        </w:tc>
        <w:tc>
          <w:tcPr>
            <w:tcW w:w="1401" w:type="dxa"/>
            <w:gridSpan w:val="2"/>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tl/>
              </w:rPr>
              <w:t>2.2</w:t>
            </w:r>
          </w:p>
        </w:tc>
      </w:tr>
      <w:tr w:rsidR="007A7FF4" w:rsidRPr="00210024" w:rsidTr="00454B42">
        <w:trPr>
          <w:gridAfter w:val="1"/>
          <w:wAfter w:w="196" w:type="dxa"/>
          <w:trHeight w:hRule="exact" w:val="291"/>
          <w:jc w:val="center"/>
        </w:trPr>
        <w:tc>
          <w:tcPr>
            <w:tcW w:w="4784" w:type="dxa"/>
            <w:vAlign w:val="center"/>
          </w:tcPr>
          <w:p w:rsidR="007A7FF4" w:rsidRPr="00210024" w:rsidRDefault="007A7FF4" w:rsidP="00186D70">
            <w:pPr>
              <w:spacing w:after="0"/>
              <w:rPr>
                <w:rFonts w:ascii="Times New Roman" w:hAnsi="Times New Roman" w:cs="Times New Roman"/>
                <w:sz w:val="18"/>
                <w:szCs w:val="18"/>
                <w:lang w:eastAsia="ar-SA"/>
              </w:rPr>
            </w:pPr>
            <w:r w:rsidRPr="00210024">
              <w:rPr>
                <w:rFonts w:ascii="Times New Roman" w:hAnsi="Times New Roman" w:cs="Times New Roman"/>
                <w:sz w:val="18"/>
                <w:szCs w:val="18"/>
                <w:lang w:eastAsia="ar-SA"/>
              </w:rPr>
              <w:t>Pallets, box pallets, and other load boards, pallet collars</w:t>
            </w:r>
          </w:p>
        </w:tc>
        <w:tc>
          <w:tcPr>
            <w:tcW w:w="2816" w:type="dxa"/>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Pr>
              <w:t>12,514</w:t>
            </w:r>
          </w:p>
        </w:tc>
        <w:tc>
          <w:tcPr>
            <w:tcW w:w="1401" w:type="dxa"/>
            <w:gridSpan w:val="2"/>
            <w:vAlign w:val="center"/>
            <w:hideMark/>
          </w:tcPr>
          <w:p w:rsidR="007A7FF4" w:rsidRPr="00210024" w:rsidRDefault="007A7FF4" w:rsidP="00186D70">
            <w:pPr>
              <w:spacing w:after="0"/>
              <w:jc w:val="center"/>
              <w:rPr>
                <w:rFonts w:ascii="Times New Roman" w:hAnsi="Times New Roman" w:cs="Times New Roman"/>
                <w:sz w:val="18"/>
                <w:szCs w:val="18"/>
              </w:rPr>
            </w:pPr>
            <w:r w:rsidRPr="00210024">
              <w:rPr>
                <w:rFonts w:ascii="Times New Roman" w:hAnsi="Times New Roman" w:cs="Times New Roman"/>
                <w:sz w:val="18"/>
                <w:szCs w:val="18"/>
                <w:rtl/>
              </w:rPr>
              <w:t>2.2</w:t>
            </w:r>
          </w:p>
        </w:tc>
      </w:tr>
      <w:tr w:rsidR="007A7FF4" w:rsidRPr="00210024" w:rsidTr="00454B42">
        <w:trPr>
          <w:gridAfter w:val="1"/>
          <w:wAfter w:w="196" w:type="dxa"/>
          <w:trHeight w:hRule="exact" w:val="291"/>
          <w:jc w:val="center"/>
        </w:trPr>
        <w:tc>
          <w:tcPr>
            <w:tcW w:w="4784" w:type="dxa"/>
            <w:vAlign w:val="center"/>
            <w:hideMark/>
          </w:tcPr>
          <w:p w:rsidR="007A7FF4" w:rsidRPr="00210024" w:rsidRDefault="007A7FF4" w:rsidP="00186D70">
            <w:pPr>
              <w:spacing w:after="0"/>
              <w:rPr>
                <w:rFonts w:ascii="Times New Roman" w:hAnsi="Times New Roman" w:cs="Times New Roman"/>
                <w:b/>
                <w:bCs/>
                <w:sz w:val="18"/>
                <w:szCs w:val="18"/>
                <w:lang w:eastAsia="ar-SA"/>
              </w:rPr>
            </w:pPr>
            <w:r w:rsidRPr="00210024">
              <w:rPr>
                <w:rFonts w:ascii="Times New Roman" w:hAnsi="Times New Roman" w:cs="Times New Roman"/>
                <w:b/>
                <w:bCs/>
                <w:sz w:val="18"/>
                <w:szCs w:val="18"/>
                <w:lang w:eastAsia="ar-SA"/>
              </w:rPr>
              <w:t>Total</w:t>
            </w:r>
          </w:p>
        </w:tc>
        <w:tc>
          <w:tcPr>
            <w:tcW w:w="2816" w:type="dxa"/>
            <w:vAlign w:val="center"/>
            <w:hideMark/>
          </w:tcPr>
          <w:p w:rsidR="007A7FF4" w:rsidRPr="00210024" w:rsidRDefault="007A7FF4" w:rsidP="00186D70">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Pr>
              <w:t>234,566</w:t>
            </w:r>
          </w:p>
        </w:tc>
        <w:tc>
          <w:tcPr>
            <w:tcW w:w="1401" w:type="dxa"/>
            <w:gridSpan w:val="2"/>
            <w:vAlign w:val="center"/>
            <w:hideMark/>
          </w:tcPr>
          <w:p w:rsidR="007A7FF4" w:rsidRPr="00210024" w:rsidRDefault="007A7FF4" w:rsidP="00186D70">
            <w:pPr>
              <w:spacing w:after="0"/>
              <w:jc w:val="center"/>
              <w:rPr>
                <w:rFonts w:ascii="Times New Roman" w:hAnsi="Times New Roman" w:cs="Times New Roman"/>
                <w:b/>
                <w:bCs/>
                <w:sz w:val="18"/>
                <w:szCs w:val="18"/>
              </w:rPr>
            </w:pPr>
            <w:r w:rsidRPr="00210024">
              <w:rPr>
                <w:rFonts w:ascii="Times New Roman" w:hAnsi="Times New Roman" w:cs="Times New Roman"/>
                <w:b/>
                <w:bCs/>
                <w:sz w:val="18"/>
                <w:szCs w:val="18"/>
                <w:rtl/>
              </w:rPr>
              <w:t>40.8</w:t>
            </w:r>
          </w:p>
        </w:tc>
      </w:tr>
    </w:tbl>
    <w:p w:rsidR="007A7FF4" w:rsidRPr="00210024" w:rsidRDefault="00454B42" w:rsidP="007A7FF4">
      <w:pPr>
        <w:spacing w:after="0"/>
        <w:rPr>
          <w:rFonts w:ascii="Times New Roman" w:hAnsi="Times New Roman" w:cs="Times New Roman"/>
          <w:sz w:val="18"/>
          <w:szCs w:val="18"/>
          <w:lang w:eastAsia="ar-SA"/>
        </w:rPr>
      </w:pPr>
      <w:r w:rsidRPr="00210024">
        <w:rPr>
          <w:rFonts w:ascii="Times New Roman" w:hAnsi="Times New Roman" w:cs="Times New Roman"/>
          <w:sz w:val="18"/>
          <w:szCs w:val="18"/>
        </w:rPr>
        <w:t xml:space="preserve">  </w:t>
      </w:r>
      <w:r w:rsidR="007A7FF4" w:rsidRPr="00210024">
        <w:rPr>
          <w:rFonts w:ascii="Times New Roman" w:hAnsi="Times New Roman" w:cs="Times New Roman"/>
          <w:sz w:val="18"/>
          <w:szCs w:val="18"/>
        </w:rPr>
        <w:t>* The percentage for each item is calculated based on the total value of exported goods</w:t>
      </w: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7A7FF4" w:rsidRPr="00210024" w:rsidRDefault="007A7FF4" w:rsidP="007A7FF4">
      <w:pPr>
        <w:spacing w:after="0"/>
        <w:jc w:val="both"/>
        <w:rPr>
          <w:rFonts w:ascii="Times New Roman" w:hAnsi="Times New Roman" w:cs="Times New Roman"/>
        </w:rPr>
      </w:pPr>
    </w:p>
    <w:p w:rsidR="00B87732" w:rsidRDefault="00B87732" w:rsidP="007A7FF4">
      <w:pPr>
        <w:spacing w:after="0" w:line="360" w:lineRule="auto"/>
        <w:jc w:val="both"/>
        <w:rPr>
          <w:rFonts w:ascii="Times New Roman" w:hAnsi="Times New Roman" w:cs="Times New Roman"/>
          <w:sz w:val="24"/>
          <w:szCs w:val="24"/>
        </w:rPr>
      </w:pPr>
    </w:p>
    <w:p w:rsidR="004D0919" w:rsidRDefault="004D0919" w:rsidP="007A7FF4">
      <w:pPr>
        <w:spacing w:after="0" w:line="360" w:lineRule="auto"/>
        <w:jc w:val="both"/>
        <w:rPr>
          <w:rFonts w:ascii="Times New Roman" w:hAnsi="Times New Roman" w:cs="Times New Roman"/>
          <w:sz w:val="24"/>
          <w:szCs w:val="24"/>
        </w:rPr>
      </w:pPr>
    </w:p>
    <w:p w:rsidR="00020161" w:rsidRPr="00210024" w:rsidRDefault="00020161" w:rsidP="007A7FF4">
      <w:pPr>
        <w:spacing w:after="0" w:line="360" w:lineRule="auto"/>
        <w:jc w:val="both"/>
        <w:rPr>
          <w:rFonts w:ascii="Times New Roman" w:hAnsi="Times New Roman" w:cs="Times New Roman"/>
          <w:sz w:val="24"/>
          <w:szCs w:val="24"/>
        </w:rPr>
      </w:pPr>
    </w:p>
    <w:p w:rsidR="00B4571F" w:rsidRPr="00BC3D9F" w:rsidRDefault="00B4571F" w:rsidP="00B4571F">
      <w:pPr>
        <w:spacing w:after="0"/>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Pr="00BC3D9F">
        <w:rPr>
          <w:rFonts w:ascii="Times New Roman" w:hAnsi="Times New Roman" w:cs="Times New Roman"/>
          <w:b/>
          <w:bCs/>
          <w:sz w:val="24"/>
          <w:szCs w:val="24"/>
        </w:rPr>
        <w:t>Public Finance</w:t>
      </w:r>
      <w:r w:rsidR="00394071">
        <w:rPr>
          <w:rStyle w:val="FootnoteReference"/>
          <w:rFonts w:ascii="Times New Roman" w:hAnsi="Times New Roman" w:cs="Times New Roman"/>
          <w:b/>
          <w:bCs/>
          <w:sz w:val="24"/>
          <w:szCs w:val="24"/>
        </w:rPr>
        <w:footnoteReference w:customMarkFollows="1" w:id="4"/>
        <w:t>1</w:t>
      </w:r>
      <w:r w:rsidRPr="00BC3D9F">
        <w:rPr>
          <w:rFonts w:ascii="Times New Roman" w:hAnsi="Times New Roman" w:cs="Times New Roman"/>
          <w:b/>
          <w:bCs/>
          <w:sz w:val="24"/>
          <w:szCs w:val="24"/>
        </w:rPr>
        <w:t>:</w:t>
      </w:r>
    </w:p>
    <w:p w:rsidR="00B4571F" w:rsidRDefault="00B4571F" w:rsidP="00B4571F">
      <w:pPr>
        <w:spacing w:after="0"/>
        <w:jc w:val="both"/>
        <w:rPr>
          <w:rFonts w:ascii="Times New Roman" w:hAnsi="Times New Roman" w:cs="Times New Roman"/>
          <w:sz w:val="24"/>
          <w:szCs w:val="24"/>
        </w:rPr>
      </w:pPr>
      <w:r w:rsidRPr="00943DFA">
        <w:rPr>
          <w:rFonts w:ascii="Times New Roman" w:hAnsi="Times New Roman" w:cs="Times New Roman"/>
          <w:b/>
          <w:bCs/>
          <w:sz w:val="24"/>
          <w:szCs w:val="24"/>
        </w:rPr>
        <w:t xml:space="preserve">Government expenditures, by its both types:  current operational running cost and investment spending, accounted for 22.0% of GDP in Palestinian </w:t>
      </w:r>
      <w:r w:rsidR="002C7C30">
        <w:rPr>
          <w:rFonts w:ascii="Times New Roman" w:hAnsi="Times New Roman" w:cs="Times New Roman"/>
          <w:b/>
          <w:bCs/>
          <w:sz w:val="24"/>
          <w:szCs w:val="24"/>
        </w:rPr>
        <w:t>Territory</w:t>
      </w:r>
      <w:r w:rsidRPr="00943DFA">
        <w:rPr>
          <w:rFonts w:ascii="Times New Roman" w:hAnsi="Times New Roman" w:cs="Times New Roman"/>
          <w:b/>
          <w:bCs/>
          <w:sz w:val="24"/>
          <w:szCs w:val="24"/>
        </w:rPr>
        <w:t xml:space="preserve"> in 2011.</w:t>
      </w:r>
      <w:r w:rsidRPr="00BC3D9F">
        <w:rPr>
          <w:rFonts w:ascii="Times New Roman" w:hAnsi="Times New Roman" w:cs="Times New Roman"/>
          <w:sz w:val="24"/>
          <w:szCs w:val="24"/>
        </w:rPr>
        <w:t xml:space="preserve"> The Palestinian </w:t>
      </w:r>
      <w:r w:rsidR="002C7C30">
        <w:rPr>
          <w:rFonts w:ascii="Times New Roman" w:hAnsi="Times New Roman" w:cs="Times New Roman"/>
          <w:sz w:val="24"/>
          <w:szCs w:val="24"/>
        </w:rPr>
        <w:t>Territory</w:t>
      </w:r>
      <w:r w:rsidRPr="00BC3D9F">
        <w:rPr>
          <w:rFonts w:ascii="Times New Roman" w:hAnsi="Times New Roman" w:cs="Times New Roman"/>
          <w:sz w:val="24"/>
          <w:szCs w:val="24"/>
        </w:rPr>
        <w:t xml:space="preserve"> witnessed a set of rapidly volatile political and economic changes during the year of 2011 which affected the financial performance of the Palestinian National Authority (PNA), both in terms of revenues, expenditures and budget deficit.</w:t>
      </w:r>
    </w:p>
    <w:p w:rsidR="00B4571F" w:rsidRDefault="00B4571F" w:rsidP="00B4571F">
      <w:pPr>
        <w:spacing w:after="0"/>
        <w:jc w:val="both"/>
        <w:rPr>
          <w:rFonts w:ascii="Times New Roman" w:hAnsi="Times New Roman" w:cs="Times New Roman"/>
          <w:sz w:val="24"/>
          <w:szCs w:val="24"/>
        </w:rPr>
      </w:pPr>
      <w:r w:rsidRPr="00BC3D9F">
        <w:rPr>
          <w:rFonts w:ascii="Times New Roman" w:hAnsi="Times New Roman" w:cs="Times New Roman"/>
          <w:sz w:val="24"/>
          <w:szCs w:val="24"/>
        </w:rPr>
        <w:br/>
      </w:r>
      <w:r w:rsidRPr="00943DFA">
        <w:rPr>
          <w:rFonts w:ascii="Times New Roman" w:hAnsi="Times New Roman" w:cs="Times New Roman"/>
          <w:b/>
          <w:bCs/>
          <w:sz w:val="24"/>
          <w:szCs w:val="24"/>
        </w:rPr>
        <w:t xml:space="preserve">For revenues, the total public revenues in 2011 increased by 6.1% compared with 2010 and reached about </w:t>
      </w:r>
      <w:r w:rsidR="000E0C2C">
        <w:rPr>
          <w:rFonts w:ascii="Times New Roman" w:hAnsi="Times New Roman" w:cs="Times New Roman"/>
          <w:b/>
          <w:bCs/>
          <w:sz w:val="24"/>
          <w:szCs w:val="24"/>
        </w:rPr>
        <w:t>USD</w:t>
      </w:r>
      <w:r w:rsidRPr="00943DFA">
        <w:rPr>
          <w:rFonts w:ascii="Times New Roman" w:hAnsi="Times New Roman" w:cs="Times New Roman"/>
          <w:b/>
          <w:bCs/>
          <w:sz w:val="24"/>
          <w:szCs w:val="24"/>
        </w:rPr>
        <w:t xml:space="preserve"> 2.0 billion. Domestic revenues (tax and non-tax) accounted for 36.1% of total revenues,</w:t>
      </w:r>
      <w:r w:rsidRPr="00BC3D9F">
        <w:rPr>
          <w:rFonts w:ascii="Times New Roman" w:hAnsi="Times New Roman" w:cs="Times New Roman"/>
          <w:sz w:val="24"/>
          <w:szCs w:val="24"/>
        </w:rPr>
        <w:t xml:space="preserve"> which helped to covering part of running expenditures and reducing reliance on foreign aid remittances to support government general budget.</w:t>
      </w:r>
    </w:p>
    <w:p w:rsidR="00B4571F" w:rsidRDefault="00B4571F" w:rsidP="00FA5ABD">
      <w:pPr>
        <w:spacing w:after="0"/>
        <w:jc w:val="both"/>
        <w:rPr>
          <w:rFonts w:ascii="Times New Roman" w:hAnsi="Times New Roman" w:cs="Times New Roman"/>
          <w:sz w:val="24"/>
          <w:szCs w:val="24"/>
        </w:rPr>
      </w:pPr>
      <w:r w:rsidRPr="00BC3D9F">
        <w:rPr>
          <w:rFonts w:ascii="Times New Roman" w:hAnsi="Times New Roman" w:cs="Times New Roman"/>
          <w:sz w:val="24"/>
          <w:szCs w:val="24"/>
        </w:rPr>
        <w:br/>
      </w:r>
      <w:r w:rsidRPr="00943DFA">
        <w:rPr>
          <w:rFonts w:ascii="Times New Roman" w:hAnsi="Times New Roman" w:cs="Times New Roman"/>
          <w:b/>
          <w:bCs/>
          <w:sz w:val="24"/>
          <w:szCs w:val="24"/>
        </w:rPr>
        <w:t xml:space="preserve">Tax revenues accounted for </w:t>
      </w:r>
      <w:r w:rsidR="00FA5ABD">
        <w:rPr>
          <w:rFonts w:ascii="Times New Roman" w:hAnsi="Times New Roman" w:cs="Times New Roman"/>
          <w:b/>
          <w:bCs/>
          <w:sz w:val="24"/>
          <w:szCs w:val="24"/>
        </w:rPr>
        <w:t>23.6</w:t>
      </w:r>
      <w:r w:rsidRPr="00943DFA">
        <w:rPr>
          <w:rFonts w:ascii="Times New Roman" w:hAnsi="Times New Roman" w:cs="Times New Roman"/>
          <w:b/>
          <w:bCs/>
          <w:sz w:val="24"/>
          <w:szCs w:val="24"/>
        </w:rPr>
        <w:t xml:space="preserve">% of the total public revenues in 2011 and reached </w:t>
      </w:r>
      <w:r w:rsidR="000E0C2C">
        <w:rPr>
          <w:rFonts w:ascii="Times New Roman" w:hAnsi="Times New Roman" w:cs="Times New Roman"/>
          <w:b/>
          <w:bCs/>
          <w:sz w:val="24"/>
          <w:szCs w:val="24"/>
        </w:rPr>
        <w:t>USD</w:t>
      </w:r>
      <w:r w:rsidRPr="00943DFA">
        <w:rPr>
          <w:rFonts w:ascii="Times New Roman" w:hAnsi="Times New Roman" w:cs="Times New Roman"/>
          <w:b/>
          <w:bCs/>
          <w:sz w:val="24"/>
          <w:szCs w:val="24"/>
        </w:rPr>
        <w:t xml:space="preserve"> 482.3 million, with an increase of 1.7% compared to 2010. </w:t>
      </w:r>
      <w:r w:rsidRPr="00BC3D9F">
        <w:rPr>
          <w:rFonts w:ascii="Times New Roman" w:hAnsi="Times New Roman" w:cs="Times New Roman"/>
          <w:sz w:val="24"/>
          <w:szCs w:val="24"/>
        </w:rPr>
        <w:t>As shown in Figure 16, the revenues from collected taxes during 2011 were the highest amount in value since 2004 due to government reforms that witnessed in 2011 a promotion in the field of tax collection in line with the "Reform and Development Plan" which the Government implemented, but it remains low in its value and reflects weakness in tax support base of the Palestinian National Authority (PNA).</w:t>
      </w:r>
    </w:p>
    <w:p w:rsidR="00B4571F" w:rsidRPr="00BC3D9F" w:rsidRDefault="00B4571F" w:rsidP="00B4571F">
      <w:pPr>
        <w:spacing w:after="0"/>
        <w:jc w:val="both"/>
        <w:rPr>
          <w:rFonts w:ascii="Times New Roman" w:hAnsi="Times New Roman" w:cs="Times New Roman"/>
          <w:sz w:val="24"/>
          <w:szCs w:val="24"/>
          <w:rtl/>
        </w:rPr>
      </w:pPr>
      <w:r w:rsidRPr="00BC3D9F">
        <w:rPr>
          <w:rFonts w:ascii="Times New Roman" w:hAnsi="Times New Roman" w:cs="Times New Roman"/>
          <w:sz w:val="24"/>
          <w:szCs w:val="24"/>
        </w:rPr>
        <w:br/>
      </w:r>
    </w:p>
    <w:p w:rsidR="00B4571F" w:rsidRDefault="00B4571F" w:rsidP="00FE420F">
      <w:pPr>
        <w:spacing w:after="0"/>
        <w:jc w:val="center"/>
        <w:rPr>
          <w:rFonts w:ascii="Times New Roman" w:hAnsi="Times New Roman" w:cs="Times New Roman"/>
          <w:b/>
          <w:bCs/>
        </w:rPr>
      </w:pPr>
      <w:r w:rsidRPr="00421A09">
        <w:rPr>
          <w:rFonts w:ascii="Times New Roman" w:hAnsi="Times New Roman" w:cs="Times New Roman"/>
          <w:b/>
          <w:bCs/>
        </w:rPr>
        <w:t xml:space="preserve">Figure 16: Total tax revenues </w:t>
      </w:r>
      <w:r w:rsidR="00FE420F" w:rsidRPr="004E405F">
        <w:rPr>
          <w:rFonts w:ascii="Times New Roman" w:hAnsi="Times New Roman" w:cs="Times New Roman"/>
          <w:b/>
          <w:bCs/>
        </w:rPr>
        <w:t>in</w:t>
      </w:r>
      <w:r w:rsidR="00FE420F">
        <w:rPr>
          <w:rFonts w:ascii="Times New Roman" w:hAnsi="Times New Roman" w:cs="Times New Roman"/>
          <w:b/>
          <w:bCs/>
        </w:rPr>
        <w:t xml:space="preserve"> the</w:t>
      </w:r>
      <w:r w:rsidR="00FE420F" w:rsidRPr="004E405F">
        <w:rPr>
          <w:rFonts w:ascii="Times New Roman" w:hAnsi="Times New Roman" w:cs="Times New Roman"/>
          <w:b/>
          <w:bCs/>
        </w:rPr>
        <w:t xml:space="preserve"> Palestinian </w:t>
      </w:r>
      <w:r w:rsidR="00FE420F">
        <w:rPr>
          <w:rFonts w:ascii="Times New Roman" w:hAnsi="Times New Roman" w:cs="Times New Roman"/>
          <w:b/>
          <w:bCs/>
        </w:rPr>
        <w:t>Territory,</w:t>
      </w:r>
      <w:r w:rsidRPr="00421A09">
        <w:rPr>
          <w:rFonts w:ascii="Times New Roman" w:hAnsi="Times New Roman" w:cs="Times New Roman"/>
          <w:b/>
          <w:bCs/>
        </w:rPr>
        <w:t xml:space="preserve"> (2004-2011)</w:t>
      </w:r>
    </w:p>
    <w:p w:rsidR="00B4571F" w:rsidRPr="00F22A25" w:rsidRDefault="00B4571F" w:rsidP="00B4571F">
      <w:pPr>
        <w:spacing w:after="0"/>
        <w:jc w:val="center"/>
        <w:rPr>
          <w:rFonts w:ascii="Times New Roman" w:hAnsi="Times New Roman" w:cs="Times New Roman"/>
          <w:b/>
          <w:bCs/>
          <w:sz w:val="18"/>
          <w:szCs w:val="18"/>
        </w:rPr>
      </w:pPr>
      <w:r w:rsidRPr="00F22A25">
        <w:rPr>
          <w:rFonts w:ascii="Times New Roman" w:hAnsi="Times New Roman" w:cs="Times New Roman"/>
          <w:b/>
          <w:bCs/>
          <w:sz w:val="18"/>
          <w:szCs w:val="18"/>
        </w:rPr>
        <w:t xml:space="preserve">(Value in </w:t>
      </w:r>
      <w:r w:rsidR="000E0C2C">
        <w:rPr>
          <w:rFonts w:ascii="Times New Roman" w:hAnsi="Times New Roman" w:cs="Times New Roman"/>
          <w:b/>
          <w:bCs/>
          <w:sz w:val="18"/>
          <w:szCs w:val="18"/>
        </w:rPr>
        <w:t>USD</w:t>
      </w:r>
      <w:r w:rsidRPr="00F22A25">
        <w:rPr>
          <w:rFonts w:ascii="Times New Roman" w:hAnsi="Times New Roman" w:cs="Times New Roman"/>
          <w:b/>
          <w:bCs/>
          <w:sz w:val="18"/>
          <w:szCs w:val="18"/>
        </w:rPr>
        <w:t xml:space="preserve"> Million)</w:t>
      </w:r>
    </w:p>
    <w:p w:rsidR="00B4571F" w:rsidRDefault="00B4571F" w:rsidP="00B4571F">
      <w:pPr>
        <w:spacing w:after="0"/>
        <w:jc w:val="center"/>
        <w:rPr>
          <w:rFonts w:ascii="Times New Roman" w:hAnsi="Times New Roman" w:cs="Times New Roman"/>
          <w:sz w:val="24"/>
          <w:szCs w:val="24"/>
        </w:rPr>
      </w:pPr>
      <w:r w:rsidRPr="00421A09">
        <w:rPr>
          <w:rFonts w:ascii="Times New Roman" w:hAnsi="Times New Roman" w:cs="Times New Roman"/>
          <w:noProof/>
          <w:sz w:val="24"/>
          <w:szCs w:val="24"/>
        </w:rPr>
        <w:drawing>
          <wp:inline distT="0" distB="0" distL="0" distR="0">
            <wp:extent cx="4605823" cy="2337759"/>
            <wp:effectExtent l="19050" t="0" r="23327" b="5391"/>
            <wp:docPr id="8"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Pr="00BC3D9F">
        <w:rPr>
          <w:rFonts w:ascii="Times New Roman" w:hAnsi="Times New Roman" w:cs="Times New Roman"/>
          <w:sz w:val="24"/>
          <w:szCs w:val="24"/>
        </w:rPr>
        <w:br/>
      </w:r>
    </w:p>
    <w:p w:rsidR="00590325" w:rsidRDefault="00590325" w:rsidP="00B4571F">
      <w:pPr>
        <w:spacing w:after="0"/>
        <w:jc w:val="center"/>
        <w:rPr>
          <w:rFonts w:ascii="Times New Roman" w:hAnsi="Times New Roman" w:cs="Times New Roman"/>
          <w:sz w:val="24"/>
          <w:szCs w:val="24"/>
        </w:rPr>
      </w:pPr>
    </w:p>
    <w:p w:rsidR="00B4571F" w:rsidRDefault="00B4571F" w:rsidP="00B4571F">
      <w:pPr>
        <w:spacing w:after="0"/>
        <w:jc w:val="center"/>
        <w:rPr>
          <w:rFonts w:ascii="Times New Roman" w:hAnsi="Times New Roman" w:cs="Times New Roman"/>
          <w:sz w:val="24"/>
          <w:szCs w:val="24"/>
        </w:rPr>
      </w:pPr>
    </w:p>
    <w:p w:rsidR="00B4571F" w:rsidRDefault="00B4571F" w:rsidP="00B4571F">
      <w:pPr>
        <w:spacing w:after="0"/>
        <w:jc w:val="center"/>
        <w:rPr>
          <w:rFonts w:ascii="Times New Roman" w:hAnsi="Times New Roman" w:cs="Times New Roman"/>
          <w:sz w:val="24"/>
          <w:szCs w:val="24"/>
        </w:rPr>
      </w:pPr>
    </w:p>
    <w:p w:rsidR="00020161" w:rsidRDefault="00020161" w:rsidP="00B4571F">
      <w:pPr>
        <w:spacing w:after="0"/>
        <w:jc w:val="center"/>
        <w:rPr>
          <w:rFonts w:ascii="Times New Roman" w:hAnsi="Times New Roman" w:cs="Times New Roman"/>
          <w:sz w:val="24"/>
          <w:szCs w:val="24"/>
        </w:rPr>
      </w:pPr>
    </w:p>
    <w:p w:rsidR="0054063B" w:rsidRDefault="0054063B" w:rsidP="00B4571F">
      <w:pPr>
        <w:spacing w:after="0"/>
        <w:jc w:val="center"/>
        <w:rPr>
          <w:rFonts w:ascii="Times New Roman" w:hAnsi="Times New Roman" w:cs="Times New Roman"/>
          <w:sz w:val="24"/>
          <w:szCs w:val="24"/>
        </w:rPr>
      </w:pPr>
    </w:p>
    <w:p w:rsidR="0054063B" w:rsidRDefault="0054063B" w:rsidP="00B4571F">
      <w:pPr>
        <w:spacing w:after="0"/>
        <w:jc w:val="center"/>
        <w:rPr>
          <w:rFonts w:ascii="Times New Roman" w:hAnsi="Times New Roman" w:cs="Times New Roman"/>
          <w:sz w:val="24"/>
          <w:szCs w:val="24"/>
        </w:rPr>
      </w:pPr>
    </w:p>
    <w:p w:rsidR="00B4571F" w:rsidRPr="00BC3D9F" w:rsidRDefault="00B4571F" w:rsidP="00752C77">
      <w:pPr>
        <w:spacing w:after="0"/>
        <w:jc w:val="both"/>
        <w:rPr>
          <w:rFonts w:ascii="Times New Roman" w:hAnsi="Times New Roman" w:cs="Times New Roman"/>
          <w:sz w:val="24"/>
          <w:szCs w:val="24"/>
        </w:rPr>
      </w:pPr>
      <w:r w:rsidRPr="00943DFA">
        <w:rPr>
          <w:rFonts w:ascii="Times New Roman" w:hAnsi="Times New Roman" w:cs="Times New Roman"/>
          <w:b/>
          <w:bCs/>
          <w:sz w:val="24"/>
          <w:szCs w:val="24"/>
        </w:rPr>
        <w:lastRenderedPageBreak/>
        <w:t xml:space="preserve">On the other hand, the clearance revenues increased by 13.0% during 2011 and reached </w:t>
      </w:r>
      <w:r w:rsidR="000E0C2C">
        <w:rPr>
          <w:rFonts w:ascii="Times New Roman" w:hAnsi="Times New Roman" w:cs="Times New Roman"/>
          <w:b/>
          <w:bCs/>
          <w:sz w:val="24"/>
          <w:szCs w:val="24"/>
        </w:rPr>
        <w:t>USD</w:t>
      </w:r>
      <w:r w:rsidRPr="00943DFA">
        <w:rPr>
          <w:rFonts w:ascii="Times New Roman" w:hAnsi="Times New Roman" w:cs="Times New Roman"/>
          <w:b/>
          <w:bCs/>
          <w:sz w:val="24"/>
          <w:szCs w:val="24"/>
        </w:rPr>
        <w:t xml:space="preserve"> 1</w:t>
      </w:r>
      <w:r w:rsidR="00A22E5F">
        <w:rPr>
          <w:rFonts w:ascii="Times New Roman" w:hAnsi="Times New Roman" w:cs="Times New Roman"/>
          <w:b/>
          <w:bCs/>
          <w:sz w:val="24"/>
          <w:szCs w:val="24"/>
        </w:rPr>
        <w:t>,</w:t>
      </w:r>
      <w:r w:rsidRPr="00943DFA">
        <w:rPr>
          <w:rFonts w:ascii="Times New Roman" w:hAnsi="Times New Roman" w:cs="Times New Roman"/>
          <w:b/>
          <w:bCs/>
          <w:sz w:val="24"/>
          <w:szCs w:val="24"/>
        </w:rPr>
        <w:t xml:space="preserve">423.2 million against </w:t>
      </w:r>
      <w:r w:rsidR="000E0C2C">
        <w:rPr>
          <w:rFonts w:ascii="Times New Roman" w:hAnsi="Times New Roman" w:cs="Times New Roman"/>
          <w:b/>
          <w:bCs/>
          <w:sz w:val="24"/>
          <w:szCs w:val="24"/>
        </w:rPr>
        <w:t>USD</w:t>
      </w:r>
      <w:r w:rsidRPr="00943DFA">
        <w:rPr>
          <w:rFonts w:ascii="Times New Roman" w:hAnsi="Times New Roman" w:cs="Times New Roman"/>
          <w:b/>
          <w:bCs/>
          <w:sz w:val="24"/>
          <w:szCs w:val="24"/>
        </w:rPr>
        <w:t xml:space="preserve"> 1</w:t>
      </w:r>
      <w:r w:rsidR="00A22E5F">
        <w:rPr>
          <w:rFonts w:ascii="Times New Roman" w:hAnsi="Times New Roman" w:cs="Times New Roman"/>
          <w:b/>
          <w:bCs/>
          <w:sz w:val="24"/>
          <w:szCs w:val="24"/>
        </w:rPr>
        <w:t>,</w:t>
      </w:r>
      <w:r w:rsidRPr="00943DFA">
        <w:rPr>
          <w:rFonts w:ascii="Times New Roman" w:hAnsi="Times New Roman" w:cs="Times New Roman"/>
          <w:b/>
          <w:bCs/>
          <w:sz w:val="24"/>
          <w:szCs w:val="24"/>
        </w:rPr>
        <w:t>259.2</w:t>
      </w:r>
      <w:r w:rsidR="00F244F4">
        <w:rPr>
          <w:rFonts w:ascii="Times New Roman" w:hAnsi="Times New Roman" w:cs="Times New Roman"/>
          <w:b/>
          <w:bCs/>
          <w:sz w:val="24"/>
          <w:szCs w:val="24"/>
        </w:rPr>
        <w:t xml:space="preserve"> </w:t>
      </w:r>
      <w:r w:rsidR="00752C77">
        <w:rPr>
          <w:rFonts w:ascii="Times New Roman" w:hAnsi="Times New Roman" w:cs="Times New Roman"/>
          <w:b/>
          <w:bCs/>
          <w:sz w:val="24"/>
          <w:szCs w:val="24"/>
        </w:rPr>
        <w:t>m</w:t>
      </w:r>
      <w:r w:rsidRPr="00943DFA">
        <w:rPr>
          <w:rFonts w:ascii="Times New Roman" w:hAnsi="Times New Roman" w:cs="Times New Roman"/>
          <w:b/>
          <w:bCs/>
          <w:sz w:val="24"/>
          <w:szCs w:val="24"/>
        </w:rPr>
        <w:t>illion in 2010,</w:t>
      </w:r>
      <w:r w:rsidRPr="00BC3D9F">
        <w:rPr>
          <w:rFonts w:ascii="Times New Roman" w:hAnsi="Times New Roman" w:cs="Times New Roman"/>
          <w:sz w:val="24"/>
          <w:szCs w:val="24"/>
        </w:rPr>
        <w:t xml:space="preserve"> and that constituted 69.6% of total revenues in 2011. This could be attributed to practicing of a greater control over the commitment of traders to submit defrayal bills to the PNA, in addition to the high volume of imports from foreign countries and Israel, but it reflects the extent of subordination</w:t>
      </w:r>
      <w:r w:rsidRPr="00BC3D9F">
        <w:rPr>
          <w:rFonts w:ascii="Times New Roman" w:hAnsi="Times New Roman" w:cs="Times New Roman"/>
          <w:sz w:val="24"/>
          <w:szCs w:val="24"/>
          <w:rtl/>
        </w:rPr>
        <w:t xml:space="preserve"> </w:t>
      </w:r>
      <w:r w:rsidRPr="00BC3D9F">
        <w:rPr>
          <w:rFonts w:ascii="Times New Roman" w:hAnsi="Times New Roman" w:cs="Times New Roman"/>
          <w:sz w:val="24"/>
          <w:szCs w:val="24"/>
        </w:rPr>
        <w:t>and espousal of the Palestinian National Authority general budget on Israel.</w:t>
      </w:r>
    </w:p>
    <w:p w:rsidR="00B4571F" w:rsidRDefault="00B4571F" w:rsidP="00F44DDC">
      <w:pPr>
        <w:spacing w:after="0"/>
        <w:jc w:val="center"/>
        <w:rPr>
          <w:rFonts w:ascii="Times New Roman" w:hAnsi="Times New Roman" w:cs="Times New Roman"/>
          <w:b/>
          <w:bCs/>
        </w:rPr>
      </w:pPr>
      <w:r w:rsidRPr="00BC3D9F">
        <w:rPr>
          <w:rFonts w:ascii="Times New Roman" w:hAnsi="Times New Roman" w:cs="Times New Roman"/>
          <w:sz w:val="24"/>
          <w:szCs w:val="24"/>
        </w:rPr>
        <w:br/>
      </w:r>
      <w:r w:rsidRPr="00421A09">
        <w:rPr>
          <w:rFonts w:ascii="Times New Roman" w:hAnsi="Times New Roman" w:cs="Times New Roman"/>
          <w:b/>
          <w:bCs/>
        </w:rPr>
        <w:t xml:space="preserve">Figure 17: Total clearance revenues </w:t>
      </w:r>
      <w:r w:rsidR="00F44DDC" w:rsidRPr="004E405F">
        <w:rPr>
          <w:rFonts w:ascii="Times New Roman" w:hAnsi="Times New Roman" w:cs="Times New Roman"/>
          <w:b/>
          <w:bCs/>
        </w:rPr>
        <w:t>in</w:t>
      </w:r>
      <w:r w:rsidR="00F44DDC">
        <w:rPr>
          <w:rFonts w:ascii="Times New Roman" w:hAnsi="Times New Roman" w:cs="Times New Roman"/>
          <w:b/>
          <w:bCs/>
        </w:rPr>
        <w:t xml:space="preserve"> the</w:t>
      </w:r>
      <w:r w:rsidR="00F44DDC" w:rsidRPr="004E405F">
        <w:rPr>
          <w:rFonts w:ascii="Times New Roman" w:hAnsi="Times New Roman" w:cs="Times New Roman"/>
          <w:b/>
          <w:bCs/>
        </w:rPr>
        <w:t xml:space="preserve"> Palestinian </w:t>
      </w:r>
      <w:r w:rsidR="00F44DDC">
        <w:rPr>
          <w:rFonts w:ascii="Times New Roman" w:hAnsi="Times New Roman" w:cs="Times New Roman"/>
          <w:b/>
          <w:bCs/>
        </w:rPr>
        <w:t>Territory,</w:t>
      </w:r>
      <w:r w:rsidR="00F44DDC" w:rsidRPr="00210024">
        <w:rPr>
          <w:rFonts w:ascii="Times New Roman" w:hAnsi="Times New Roman" w:cs="Times New Roman"/>
          <w:b/>
          <w:bCs/>
        </w:rPr>
        <w:t xml:space="preserve"> </w:t>
      </w:r>
      <w:r w:rsidRPr="00421A09">
        <w:rPr>
          <w:rFonts w:ascii="Times New Roman" w:hAnsi="Times New Roman" w:cs="Times New Roman"/>
          <w:b/>
          <w:bCs/>
        </w:rPr>
        <w:t>(2004-2011)</w:t>
      </w:r>
    </w:p>
    <w:p w:rsidR="00B4571F" w:rsidRDefault="00B4571F" w:rsidP="009F20E3">
      <w:pPr>
        <w:pStyle w:val="xl69"/>
        <w:bidi/>
        <w:spacing w:before="0" w:beforeAutospacing="0" w:after="120" w:afterAutospacing="0"/>
        <w:rPr>
          <w:rFonts w:cs="Times New Roman" w:hint="default"/>
          <w:sz w:val="24"/>
          <w:szCs w:val="24"/>
          <w:rtl/>
        </w:rPr>
      </w:pPr>
      <w:r>
        <w:rPr>
          <w:rFonts w:hint="default"/>
          <w:sz w:val="18"/>
          <w:szCs w:val="18"/>
        </w:rPr>
        <w:t>V</w:t>
      </w:r>
      <w:r w:rsidRPr="00801667">
        <w:rPr>
          <w:sz w:val="18"/>
          <w:szCs w:val="18"/>
        </w:rPr>
        <w:t xml:space="preserve">alue in </w:t>
      </w:r>
      <w:r w:rsidR="000E0C2C">
        <w:rPr>
          <w:sz w:val="18"/>
          <w:szCs w:val="18"/>
        </w:rPr>
        <w:t>USD</w:t>
      </w:r>
      <w:r w:rsidRPr="00801667">
        <w:rPr>
          <w:sz w:val="18"/>
          <w:szCs w:val="18"/>
        </w:rPr>
        <w:t xml:space="preserve"> Million)</w:t>
      </w:r>
      <w:r w:rsidRPr="00801667">
        <w:rPr>
          <w:sz w:val="18"/>
          <w:szCs w:val="18"/>
          <w:rtl/>
        </w:rPr>
        <w:t>)</w:t>
      </w:r>
      <w:r w:rsidRPr="00421A09">
        <w:rPr>
          <w:rFonts w:cs="Times New Roman" w:hint="default"/>
        </w:rPr>
        <w:br/>
      </w:r>
      <w:r w:rsidRPr="00421A09">
        <w:rPr>
          <w:rFonts w:cs="Times New Roman"/>
          <w:noProof/>
          <w:sz w:val="24"/>
          <w:szCs w:val="24"/>
        </w:rPr>
        <w:drawing>
          <wp:inline distT="0" distB="0" distL="0" distR="0">
            <wp:extent cx="4558773" cy="2544793"/>
            <wp:effectExtent l="19050" t="0" r="13227" b="7907"/>
            <wp:docPr id="9"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Pr="00BC3D9F">
        <w:rPr>
          <w:rFonts w:cs="Times New Roman" w:hint="default"/>
          <w:sz w:val="24"/>
          <w:szCs w:val="24"/>
        </w:rPr>
        <w:br/>
      </w:r>
    </w:p>
    <w:p w:rsidR="00B4571F" w:rsidRDefault="00B4571F" w:rsidP="00A22E5F">
      <w:pPr>
        <w:pStyle w:val="xl69"/>
        <w:spacing w:before="0" w:beforeAutospacing="0" w:after="0" w:afterAutospacing="0"/>
        <w:jc w:val="both"/>
        <w:rPr>
          <w:rFonts w:cs="Times New Roman" w:hint="default"/>
          <w:sz w:val="24"/>
          <w:szCs w:val="24"/>
        </w:rPr>
      </w:pPr>
      <w:r w:rsidRPr="00BC3D9F">
        <w:rPr>
          <w:rFonts w:cs="Times New Roman" w:hint="default"/>
          <w:sz w:val="24"/>
          <w:szCs w:val="24"/>
        </w:rPr>
        <w:t xml:space="preserve">Government expenditures increased by 8.0% in 2011, up to </w:t>
      </w:r>
      <w:r w:rsidR="000E0C2C">
        <w:rPr>
          <w:rFonts w:cs="Times New Roman" w:hint="default"/>
          <w:sz w:val="24"/>
          <w:szCs w:val="24"/>
        </w:rPr>
        <w:t>USD</w:t>
      </w:r>
      <w:r w:rsidRPr="00BC3D9F">
        <w:rPr>
          <w:rFonts w:cs="Times New Roman" w:hint="default"/>
          <w:sz w:val="24"/>
          <w:szCs w:val="24"/>
        </w:rPr>
        <w:t xml:space="preserve"> 3</w:t>
      </w:r>
      <w:r w:rsidR="00A22E5F">
        <w:rPr>
          <w:rFonts w:cs="Times New Roman" w:hint="default"/>
          <w:sz w:val="24"/>
          <w:szCs w:val="24"/>
        </w:rPr>
        <w:t>,</w:t>
      </w:r>
      <w:r w:rsidRPr="00BC3D9F">
        <w:rPr>
          <w:rFonts w:cs="Times New Roman" w:hint="default"/>
          <w:sz w:val="24"/>
          <w:szCs w:val="24"/>
        </w:rPr>
        <w:t xml:space="preserve">323.2 million compared with </w:t>
      </w:r>
      <w:r w:rsidR="000E0C2C">
        <w:rPr>
          <w:rFonts w:cs="Times New Roman" w:hint="default"/>
          <w:sz w:val="24"/>
          <w:szCs w:val="24"/>
        </w:rPr>
        <w:t>USD</w:t>
      </w:r>
      <w:r w:rsidRPr="00BC3D9F">
        <w:rPr>
          <w:rFonts w:cs="Times New Roman" w:hint="default"/>
          <w:sz w:val="24"/>
          <w:szCs w:val="24"/>
        </w:rPr>
        <w:t xml:space="preserve"> 3</w:t>
      </w:r>
      <w:r w:rsidR="00A22E5F">
        <w:rPr>
          <w:rFonts w:cs="Times New Roman" w:hint="default"/>
          <w:sz w:val="24"/>
          <w:szCs w:val="24"/>
        </w:rPr>
        <w:t>,</w:t>
      </w:r>
      <w:r w:rsidRPr="00BC3D9F">
        <w:rPr>
          <w:rFonts w:cs="Times New Roman" w:hint="default"/>
          <w:sz w:val="24"/>
          <w:szCs w:val="24"/>
        </w:rPr>
        <w:t xml:space="preserve">076.8 million in 2010. </w:t>
      </w:r>
      <w:r w:rsidRPr="00A22E5F">
        <w:rPr>
          <w:rFonts w:cs="Times New Roman" w:hint="default"/>
          <w:b w:val="0"/>
          <w:bCs w:val="0"/>
          <w:sz w:val="24"/>
          <w:szCs w:val="24"/>
        </w:rPr>
        <w:t xml:space="preserve">This increase in government expenditures was due to rising wage bill during 2011 by 10.4% and an increase of non-wage expenditures by 14.2%. The total wage bill of </w:t>
      </w:r>
      <w:r w:rsidR="000E0C2C">
        <w:rPr>
          <w:rFonts w:cs="Times New Roman" w:hint="default"/>
          <w:b w:val="0"/>
          <w:bCs w:val="0"/>
          <w:sz w:val="24"/>
          <w:szCs w:val="24"/>
        </w:rPr>
        <w:t>USD</w:t>
      </w:r>
      <w:r w:rsidRPr="00A22E5F">
        <w:rPr>
          <w:rFonts w:cs="Times New Roman" w:hint="default"/>
          <w:b w:val="0"/>
          <w:bCs w:val="0"/>
          <w:sz w:val="24"/>
          <w:szCs w:val="24"/>
        </w:rPr>
        <w:t xml:space="preserve"> 1</w:t>
      </w:r>
      <w:r w:rsidR="00A22E5F">
        <w:rPr>
          <w:rFonts w:cs="Times New Roman" w:hint="default"/>
          <w:b w:val="0"/>
          <w:bCs w:val="0"/>
          <w:sz w:val="24"/>
          <w:szCs w:val="24"/>
        </w:rPr>
        <w:t>,</w:t>
      </w:r>
      <w:r w:rsidRPr="00A22E5F">
        <w:rPr>
          <w:rFonts w:cs="Times New Roman" w:hint="default"/>
          <w:b w:val="0"/>
          <w:bCs w:val="0"/>
          <w:sz w:val="24"/>
          <w:szCs w:val="24"/>
        </w:rPr>
        <w:t xml:space="preserve">782.4 million in 2011 was the highest level of expenditures since 2004. As shown in Figures 18 and 19, salaries and wages are the most prominent components of government expenditures in the Palestinian </w:t>
      </w:r>
      <w:r w:rsidR="002C7C30">
        <w:rPr>
          <w:rFonts w:cs="Times New Roman" w:hint="default"/>
          <w:b w:val="0"/>
          <w:bCs w:val="0"/>
          <w:sz w:val="24"/>
          <w:szCs w:val="24"/>
        </w:rPr>
        <w:t>Territory</w:t>
      </w:r>
      <w:r w:rsidRPr="00A22E5F">
        <w:rPr>
          <w:rFonts w:cs="Times New Roman" w:hint="default"/>
          <w:b w:val="0"/>
          <w:bCs w:val="0"/>
          <w:sz w:val="24"/>
          <w:szCs w:val="24"/>
        </w:rPr>
        <w:t>, where it represented a percentage of 52.0% and 54.0% of the total expenditures during the years of 2010 and 2011 respectively</w:t>
      </w:r>
      <w:r>
        <w:rPr>
          <w:rFonts w:cs="Times New Roman" w:hint="default"/>
          <w:sz w:val="24"/>
          <w:szCs w:val="24"/>
        </w:rPr>
        <w:t>.</w:t>
      </w:r>
    </w:p>
    <w:p w:rsidR="007D0065" w:rsidRPr="00421A09" w:rsidRDefault="007D0065" w:rsidP="00B4571F">
      <w:pPr>
        <w:pStyle w:val="xl69"/>
        <w:spacing w:before="0" w:beforeAutospacing="0" w:after="0" w:afterAutospacing="0"/>
        <w:jc w:val="both"/>
        <w:rPr>
          <w:rFonts w:cs="Times New Roman" w:hint="default"/>
          <w:sz w:val="24"/>
          <w:szCs w:val="24"/>
        </w:rPr>
      </w:pPr>
    </w:p>
    <w:tbl>
      <w:tblPr>
        <w:tblpPr w:leftFromText="180" w:rightFromText="180" w:vertAnchor="text" w:horzAnchor="margin" w:tblpXSpec="center" w:tblpY="51"/>
        <w:bidiVisual/>
        <w:tblW w:w="9566" w:type="dxa"/>
        <w:tblLook w:val="0000"/>
      </w:tblPr>
      <w:tblGrid>
        <w:gridCol w:w="4993"/>
        <w:gridCol w:w="4573"/>
      </w:tblGrid>
      <w:tr w:rsidR="00B4571F" w:rsidRPr="00801667" w:rsidTr="00590325">
        <w:trPr>
          <w:trHeight w:val="3870"/>
        </w:trPr>
        <w:tc>
          <w:tcPr>
            <w:tcW w:w="4993" w:type="dxa"/>
          </w:tcPr>
          <w:p w:rsidR="00B4571F" w:rsidRPr="00186D70" w:rsidRDefault="00B4571F" w:rsidP="00A47C3B">
            <w:pPr>
              <w:pStyle w:val="Heading7"/>
              <w:spacing w:before="0"/>
              <w:jc w:val="center"/>
              <w:rPr>
                <w:rFonts w:ascii="Times New Roman" w:hAnsi="Times New Roman" w:cs="Times New Roman"/>
                <w:b/>
                <w:bCs/>
                <w:i w:val="0"/>
                <w:iCs w:val="0"/>
              </w:rPr>
            </w:pPr>
            <w:r w:rsidRPr="00186D70">
              <w:rPr>
                <w:rFonts w:ascii="Times New Roman" w:hAnsi="Times New Roman" w:cs="Times New Roman"/>
                <w:b/>
                <w:bCs/>
                <w:i w:val="0"/>
                <w:iCs w:val="0"/>
              </w:rPr>
              <w:t>Figure 1</w:t>
            </w:r>
            <w:r w:rsidR="00A47C3B">
              <w:rPr>
                <w:rFonts w:ascii="Times New Roman" w:hAnsi="Times New Roman" w:cs="Times New Roman"/>
                <w:b/>
                <w:bCs/>
                <w:i w:val="0"/>
                <w:iCs w:val="0"/>
              </w:rPr>
              <w:t>9</w:t>
            </w:r>
            <w:r w:rsidRPr="00186D70">
              <w:rPr>
                <w:rFonts w:ascii="Times New Roman" w:hAnsi="Times New Roman" w:cs="Times New Roman"/>
                <w:b/>
                <w:bCs/>
                <w:i w:val="0"/>
                <w:iCs w:val="0"/>
              </w:rPr>
              <w:t>:</w:t>
            </w:r>
            <w:r w:rsidR="00A47C3B">
              <w:rPr>
                <w:rFonts w:ascii="Times New Roman" w:hAnsi="Times New Roman" w:cs="Times New Roman"/>
                <w:b/>
                <w:bCs/>
                <w:i w:val="0"/>
                <w:iCs w:val="0"/>
              </w:rPr>
              <w:t xml:space="preserve"> </w:t>
            </w:r>
            <w:r w:rsidRPr="00186D70">
              <w:rPr>
                <w:rFonts w:ascii="Times New Roman" w:hAnsi="Times New Roman" w:cs="Times New Roman"/>
                <w:b/>
                <w:bCs/>
                <w:i w:val="0"/>
                <w:iCs w:val="0"/>
              </w:rPr>
              <w:t xml:space="preserve">Total </w:t>
            </w:r>
            <w:r w:rsidRPr="00736C4E">
              <w:rPr>
                <w:rFonts w:ascii="Times New Roman" w:hAnsi="Times New Roman" w:cs="Times New Roman"/>
                <w:b/>
                <w:bCs/>
                <w:i w:val="0"/>
                <w:iCs w:val="0"/>
              </w:rPr>
              <w:t>ex</w:t>
            </w:r>
            <w:r w:rsidRPr="00186D70">
              <w:rPr>
                <w:rFonts w:ascii="Times New Roman" w:hAnsi="Times New Roman" w:cs="Times New Roman"/>
                <w:b/>
                <w:bCs/>
                <w:i w:val="0"/>
                <w:iCs w:val="0"/>
              </w:rPr>
              <w:t xml:space="preserve">penditure and </w:t>
            </w:r>
          </w:p>
          <w:p w:rsidR="00B4571F" w:rsidRPr="00186D70" w:rsidRDefault="00B4571F" w:rsidP="00752C77">
            <w:pPr>
              <w:pStyle w:val="Heading7"/>
              <w:spacing w:before="0"/>
              <w:jc w:val="center"/>
              <w:rPr>
                <w:rFonts w:ascii="Times New Roman" w:hAnsi="Times New Roman" w:cs="Times New Roman"/>
                <w:b/>
                <w:bCs/>
                <w:i w:val="0"/>
                <w:iCs w:val="0"/>
                <w:rtl/>
              </w:rPr>
            </w:pPr>
            <w:r w:rsidRPr="00186D70">
              <w:rPr>
                <w:rFonts w:ascii="Times New Roman" w:hAnsi="Times New Roman" w:cs="Times New Roman"/>
                <w:b/>
                <w:bCs/>
                <w:i w:val="0"/>
                <w:iCs w:val="0"/>
              </w:rPr>
              <w:t xml:space="preserve">net </w:t>
            </w:r>
            <w:r w:rsidR="00752C77">
              <w:rPr>
                <w:rFonts w:ascii="Times New Roman" w:hAnsi="Times New Roman" w:cs="Times New Roman"/>
                <w:b/>
                <w:bCs/>
                <w:i w:val="0"/>
                <w:iCs w:val="0"/>
              </w:rPr>
              <w:t>l</w:t>
            </w:r>
            <w:r w:rsidRPr="00186D70">
              <w:rPr>
                <w:rFonts w:ascii="Times New Roman" w:hAnsi="Times New Roman" w:cs="Times New Roman"/>
                <w:b/>
                <w:bCs/>
                <w:i w:val="0"/>
                <w:iCs w:val="0"/>
              </w:rPr>
              <w:t>ending</w:t>
            </w:r>
            <w:r w:rsidR="00736C4E" w:rsidRPr="00736C4E">
              <w:rPr>
                <w:rFonts w:ascii="Times New Roman" w:hAnsi="Times New Roman" w:cs="Times New Roman"/>
                <w:b/>
                <w:bCs/>
                <w:i w:val="0"/>
                <w:iCs w:val="0"/>
              </w:rPr>
              <w:t xml:space="preserve"> in the Palestinian Territory</w:t>
            </w:r>
            <w:r w:rsidRPr="00186D70">
              <w:rPr>
                <w:rFonts w:ascii="Times New Roman" w:hAnsi="Times New Roman" w:cs="Times New Roman"/>
                <w:b/>
                <w:bCs/>
                <w:i w:val="0"/>
                <w:iCs w:val="0"/>
              </w:rPr>
              <w:t>, 2010</w:t>
            </w:r>
          </w:p>
          <w:p w:rsidR="00B4571F" w:rsidRPr="00801667" w:rsidRDefault="00B4571F" w:rsidP="00186D70">
            <w:pPr>
              <w:jc w:val="lowKashida"/>
              <w:rPr>
                <w:rFonts w:ascii="Times New Roman" w:hAnsi="Times New Roman" w:cs="Times New Roman"/>
                <w:rtl/>
              </w:rPr>
            </w:pPr>
            <w:r w:rsidRPr="00801667">
              <w:rPr>
                <w:rFonts w:ascii="Times New Roman" w:hAnsi="Times New Roman" w:cs="Times New Roman"/>
                <w:noProof/>
              </w:rPr>
              <w:drawing>
                <wp:inline distT="0" distB="0" distL="0" distR="0">
                  <wp:extent cx="2907689" cy="1694959"/>
                  <wp:effectExtent l="19050" t="0" r="26011" b="491"/>
                  <wp:docPr id="18" name="Object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c>
          <w:tcPr>
            <w:tcW w:w="4573" w:type="dxa"/>
          </w:tcPr>
          <w:p w:rsidR="00B4571F" w:rsidRPr="00186D70" w:rsidRDefault="00B4571F" w:rsidP="00752C77">
            <w:pPr>
              <w:pStyle w:val="Heading7"/>
              <w:spacing w:before="0"/>
              <w:jc w:val="center"/>
              <w:rPr>
                <w:rFonts w:ascii="Times New Roman" w:hAnsi="Times New Roman" w:cs="Times New Roman"/>
                <w:b/>
                <w:bCs/>
                <w:i w:val="0"/>
                <w:iCs w:val="0"/>
                <w:rtl/>
              </w:rPr>
            </w:pPr>
            <w:r w:rsidRPr="00186D70">
              <w:rPr>
                <w:rFonts w:ascii="Times New Roman" w:hAnsi="Times New Roman" w:cs="Times New Roman"/>
                <w:b/>
                <w:bCs/>
                <w:i w:val="0"/>
                <w:iCs w:val="0"/>
              </w:rPr>
              <w:t>Figure 1</w:t>
            </w:r>
            <w:r w:rsidR="00A47C3B">
              <w:rPr>
                <w:rFonts w:ascii="Times New Roman" w:hAnsi="Times New Roman" w:cs="Times New Roman"/>
                <w:b/>
                <w:bCs/>
                <w:i w:val="0"/>
                <w:iCs w:val="0"/>
              </w:rPr>
              <w:t>8</w:t>
            </w:r>
            <w:r w:rsidRPr="00186D70">
              <w:rPr>
                <w:rFonts w:ascii="Times New Roman" w:hAnsi="Times New Roman" w:cs="Times New Roman"/>
                <w:b/>
                <w:bCs/>
                <w:i w:val="0"/>
                <w:iCs w:val="0"/>
              </w:rPr>
              <w:t>:</w:t>
            </w:r>
            <w:r w:rsidR="00A47C3B">
              <w:rPr>
                <w:rFonts w:ascii="Times New Roman" w:hAnsi="Times New Roman" w:cs="Times New Roman"/>
                <w:b/>
                <w:bCs/>
                <w:i w:val="0"/>
                <w:iCs w:val="0"/>
              </w:rPr>
              <w:t xml:space="preserve"> </w:t>
            </w:r>
            <w:r w:rsidRPr="00186D70">
              <w:rPr>
                <w:rFonts w:ascii="Times New Roman" w:hAnsi="Times New Roman" w:cs="Times New Roman"/>
                <w:b/>
                <w:bCs/>
                <w:i w:val="0"/>
                <w:iCs w:val="0"/>
              </w:rPr>
              <w:t xml:space="preserve">Total </w:t>
            </w:r>
            <w:r w:rsidR="00752C77">
              <w:rPr>
                <w:rFonts w:ascii="Times New Roman" w:hAnsi="Times New Roman" w:cs="Times New Roman"/>
                <w:b/>
                <w:bCs/>
                <w:i w:val="0"/>
                <w:iCs w:val="0"/>
              </w:rPr>
              <w:t>e</w:t>
            </w:r>
            <w:r w:rsidRPr="00186D70">
              <w:rPr>
                <w:rFonts w:ascii="Times New Roman" w:hAnsi="Times New Roman" w:cs="Times New Roman"/>
                <w:b/>
                <w:bCs/>
                <w:i w:val="0"/>
                <w:iCs w:val="0"/>
              </w:rPr>
              <w:t>xpenditure</w:t>
            </w:r>
            <w:r w:rsidRPr="00186D70">
              <w:rPr>
                <w:rFonts w:ascii="Times New Roman" w:eastAsia="SimSun" w:hAnsi="Times New Roman" w:cs="Times New Roman"/>
                <w:b/>
                <w:bCs/>
                <w:i w:val="0"/>
                <w:iCs w:val="0"/>
              </w:rPr>
              <w:t xml:space="preserve"> </w:t>
            </w:r>
            <w:r w:rsidRPr="00186D70">
              <w:rPr>
                <w:rFonts w:ascii="Times New Roman" w:hAnsi="Times New Roman" w:cs="Times New Roman"/>
                <w:b/>
                <w:bCs/>
                <w:i w:val="0"/>
                <w:iCs w:val="0"/>
              </w:rPr>
              <w:t xml:space="preserve">and </w:t>
            </w:r>
          </w:p>
          <w:p w:rsidR="00B4571F" w:rsidRPr="00186D70" w:rsidRDefault="00B4571F" w:rsidP="00752C77">
            <w:pPr>
              <w:pStyle w:val="Heading7"/>
              <w:spacing w:before="0"/>
              <w:jc w:val="center"/>
              <w:rPr>
                <w:rFonts w:ascii="Times New Roman" w:hAnsi="Times New Roman" w:cs="Times New Roman"/>
                <w:b/>
                <w:bCs/>
                <w:i w:val="0"/>
                <w:iCs w:val="0"/>
                <w:rtl/>
              </w:rPr>
            </w:pPr>
            <w:r w:rsidRPr="00186D70">
              <w:rPr>
                <w:rFonts w:ascii="Times New Roman" w:hAnsi="Times New Roman" w:cs="Times New Roman"/>
                <w:b/>
                <w:bCs/>
                <w:i w:val="0"/>
                <w:iCs w:val="0"/>
              </w:rPr>
              <w:t xml:space="preserve">net </w:t>
            </w:r>
            <w:r w:rsidR="00752C77">
              <w:rPr>
                <w:rFonts w:ascii="Times New Roman" w:hAnsi="Times New Roman" w:cs="Times New Roman"/>
                <w:b/>
                <w:bCs/>
                <w:i w:val="0"/>
                <w:iCs w:val="0"/>
              </w:rPr>
              <w:t>l</w:t>
            </w:r>
            <w:r w:rsidRPr="00186D70">
              <w:rPr>
                <w:rFonts w:ascii="Times New Roman" w:hAnsi="Times New Roman" w:cs="Times New Roman"/>
                <w:b/>
                <w:bCs/>
                <w:i w:val="0"/>
                <w:iCs w:val="0"/>
              </w:rPr>
              <w:t>ending</w:t>
            </w:r>
            <w:r w:rsidR="00736C4E" w:rsidRPr="004E405F">
              <w:rPr>
                <w:rFonts w:ascii="Times New Roman" w:hAnsi="Times New Roman" w:cs="Times New Roman"/>
                <w:b/>
                <w:bCs/>
              </w:rPr>
              <w:t xml:space="preserve"> </w:t>
            </w:r>
            <w:r w:rsidR="00736C4E" w:rsidRPr="00736C4E">
              <w:rPr>
                <w:rFonts w:ascii="Times New Roman" w:hAnsi="Times New Roman" w:cs="Times New Roman"/>
                <w:b/>
                <w:bCs/>
                <w:i w:val="0"/>
                <w:iCs w:val="0"/>
              </w:rPr>
              <w:t>in the Palestinian Territory</w:t>
            </w:r>
            <w:r w:rsidRPr="00186D70">
              <w:rPr>
                <w:rFonts w:ascii="Times New Roman" w:hAnsi="Times New Roman" w:cs="Times New Roman"/>
                <w:b/>
                <w:bCs/>
                <w:i w:val="0"/>
                <w:iCs w:val="0"/>
              </w:rPr>
              <w:t>, 2011</w:t>
            </w:r>
          </w:p>
          <w:p w:rsidR="00B4571F" w:rsidRPr="00801667" w:rsidRDefault="00B4571F" w:rsidP="00186D70">
            <w:pPr>
              <w:jc w:val="lowKashida"/>
              <w:rPr>
                <w:rFonts w:ascii="Times New Roman" w:hAnsi="Times New Roman" w:cs="Times New Roman"/>
              </w:rPr>
            </w:pPr>
            <w:r w:rsidRPr="00801667">
              <w:rPr>
                <w:rFonts w:ascii="Times New Roman" w:hAnsi="Times New Roman" w:cs="Times New Roman"/>
                <w:noProof/>
              </w:rPr>
              <w:drawing>
                <wp:inline distT="0" distB="0" distL="0" distR="0">
                  <wp:extent cx="2639635" cy="1690778"/>
                  <wp:effectExtent l="19050" t="0" r="27365" b="4672"/>
                  <wp:docPr id="19" name="Object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rsidR="00B4571F" w:rsidRDefault="00B4571F" w:rsidP="004D5696">
      <w:pPr>
        <w:spacing w:after="0"/>
        <w:jc w:val="both"/>
        <w:rPr>
          <w:rFonts w:ascii="Times New Roman" w:hAnsi="Times New Roman" w:cs="Times New Roman"/>
          <w:sz w:val="24"/>
          <w:szCs w:val="24"/>
        </w:rPr>
      </w:pPr>
      <w:r w:rsidRPr="00943DFA">
        <w:rPr>
          <w:rFonts w:ascii="Times New Roman" w:hAnsi="Times New Roman" w:cs="Times New Roman"/>
          <w:b/>
          <w:bCs/>
          <w:sz w:val="24"/>
          <w:szCs w:val="24"/>
        </w:rPr>
        <w:lastRenderedPageBreak/>
        <w:t xml:space="preserve">The value of the budget deficit of the Palestinian National Authority increased by 11.2% in 2011 compared to 2010 and reached </w:t>
      </w:r>
      <w:r w:rsidR="000E0C2C">
        <w:rPr>
          <w:rFonts w:ascii="Times New Roman" w:hAnsi="Times New Roman" w:cs="Times New Roman"/>
          <w:b/>
          <w:bCs/>
          <w:sz w:val="24"/>
          <w:szCs w:val="24"/>
        </w:rPr>
        <w:t>USD</w:t>
      </w:r>
      <w:r w:rsidRPr="00943DFA">
        <w:rPr>
          <w:rFonts w:ascii="Times New Roman" w:hAnsi="Times New Roman" w:cs="Times New Roman"/>
          <w:b/>
          <w:bCs/>
          <w:sz w:val="24"/>
          <w:szCs w:val="24"/>
        </w:rPr>
        <w:t xml:space="preserve"> 1</w:t>
      </w:r>
      <w:r w:rsidR="00A22E5F">
        <w:rPr>
          <w:rFonts w:ascii="Times New Roman" w:hAnsi="Times New Roman" w:cs="Times New Roman"/>
          <w:b/>
          <w:bCs/>
          <w:sz w:val="24"/>
          <w:szCs w:val="24"/>
        </w:rPr>
        <w:t>,</w:t>
      </w:r>
      <w:r w:rsidRPr="00943DFA">
        <w:rPr>
          <w:rFonts w:ascii="Times New Roman" w:hAnsi="Times New Roman" w:cs="Times New Roman"/>
          <w:b/>
          <w:bCs/>
          <w:sz w:val="24"/>
          <w:szCs w:val="24"/>
        </w:rPr>
        <w:t>278.3 million.</w:t>
      </w:r>
      <w:r w:rsidRPr="00BC3D9F">
        <w:rPr>
          <w:rFonts w:ascii="Times New Roman" w:hAnsi="Times New Roman" w:cs="Times New Roman"/>
          <w:sz w:val="24"/>
          <w:szCs w:val="24"/>
        </w:rPr>
        <w:t xml:space="preserve"> This was mainly due to the high level of government expenditures which was higher than the rise in government revenues. This was accompanied by a decrease in the level of external support to cover the budget deficit of the Palestinian National Authority by </w:t>
      </w:r>
      <w:r w:rsidR="004D5696">
        <w:rPr>
          <w:rFonts w:ascii="Times New Roman" w:hAnsi="Times New Roman" w:cs="Times New Roman"/>
          <w:sz w:val="24"/>
          <w:szCs w:val="24"/>
        </w:rPr>
        <w:t>29.0</w:t>
      </w:r>
      <w:r w:rsidRPr="00BC3D9F">
        <w:rPr>
          <w:rFonts w:ascii="Times New Roman" w:hAnsi="Times New Roman" w:cs="Times New Roman"/>
          <w:sz w:val="24"/>
          <w:szCs w:val="24"/>
        </w:rPr>
        <w:t xml:space="preserve">%, with a total value of external support accounted to </w:t>
      </w:r>
      <w:r w:rsidR="000E0C2C">
        <w:rPr>
          <w:rFonts w:ascii="Times New Roman" w:hAnsi="Times New Roman" w:cs="Times New Roman"/>
          <w:sz w:val="24"/>
          <w:szCs w:val="24"/>
        </w:rPr>
        <w:t>USD</w:t>
      </w:r>
      <w:r w:rsidRPr="00BC3D9F">
        <w:rPr>
          <w:rFonts w:ascii="Times New Roman" w:hAnsi="Times New Roman" w:cs="Times New Roman"/>
          <w:sz w:val="24"/>
          <w:szCs w:val="24"/>
        </w:rPr>
        <w:t xml:space="preserve"> 814.3 million compared with </w:t>
      </w:r>
      <w:r w:rsidR="000E0C2C">
        <w:rPr>
          <w:rFonts w:ascii="Times New Roman" w:hAnsi="Times New Roman" w:cs="Times New Roman"/>
          <w:sz w:val="24"/>
          <w:szCs w:val="24"/>
        </w:rPr>
        <w:t>USD</w:t>
      </w:r>
      <w:r w:rsidRPr="00BC3D9F">
        <w:rPr>
          <w:rFonts w:ascii="Times New Roman" w:hAnsi="Times New Roman" w:cs="Times New Roman"/>
          <w:sz w:val="24"/>
          <w:szCs w:val="24"/>
        </w:rPr>
        <w:t xml:space="preserve"> 1</w:t>
      </w:r>
      <w:r w:rsidR="00A22E5F">
        <w:rPr>
          <w:rFonts w:ascii="Times New Roman" w:hAnsi="Times New Roman" w:cs="Times New Roman"/>
          <w:sz w:val="24"/>
          <w:szCs w:val="24"/>
        </w:rPr>
        <w:t>,</w:t>
      </w:r>
      <w:r w:rsidRPr="00BC3D9F">
        <w:rPr>
          <w:rFonts w:ascii="Times New Roman" w:hAnsi="Times New Roman" w:cs="Times New Roman"/>
          <w:sz w:val="24"/>
          <w:szCs w:val="24"/>
        </w:rPr>
        <w:t>146.8 million in 2010.</w:t>
      </w:r>
    </w:p>
    <w:p w:rsidR="00B4571F" w:rsidRDefault="00B4571F" w:rsidP="00736C4E">
      <w:pPr>
        <w:pStyle w:val="BodyText3"/>
        <w:spacing w:after="120" w:line="240" w:lineRule="auto"/>
        <w:jc w:val="center"/>
        <w:rPr>
          <w:b/>
          <w:bCs/>
          <w:sz w:val="22"/>
          <w:szCs w:val="22"/>
        </w:rPr>
      </w:pPr>
      <w:r w:rsidRPr="00BC3D9F">
        <w:br/>
      </w:r>
      <w:r w:rsidRPr="00BC3D9F">
        <w:br/>
      </w:r>
      <w:r w:rsidRPr="00A71C76">
        <w:rPr>
          <w:b/>
          <w:bCs/>
          <w:sz w:val="22"/>
          <w:szCs w:val="22"/>
        </w:rPr>
        <w:t xml:space="preserve">Figure 20: </w:t>
      </w:r>
      <w:r w:rsidR="00736C4E">
        <w:rPr>
          <w:b/>
          <w:bCs/>
          <w:sz w:val="22"/>
          <w:szCs w:val="22"/>
        </w:rPr>
        <w:t>D</w:t>
      </w:r>
      <w:r w:rsidRPr="00A71C76">
        <w:rPr>
          <w:b/>
          <w:bCs/>
          <w:sz w:val="22"/>
          <w:szCs w:val="22"/>
        </w:rPr>
        <w:t>eficit</w:t>
      </w:r>
      <w:r w:rsidR="00736C4E">
        <w:rPr>
          <w:b/>
          <w:bCs/>
          <w:sz w:val="22"/>
          <w:szCs w:val="22"/>
        </w:rPr>
        <w:t xml:space="preserve"> in general </w:t>
      </w:r>
      <w:r w:rsidR="00736C4E" w:rsidRPr="00A71C76">
        <w:rPr>
          <w:b/>
          <w:bCs/>
          <w:sz w:val="22"/>
          <w:szCs w:val="22"/>
        </w:rPr>
        <w:t>budget</w:t>
      </w:r>
      <w:r w:rsidR="00736C4E" w:rsidRPr="00736C4E">
        <w:rPr>
          <w:b/>
          <w:bCs/>
        </w:rPr>
        <w:t xml:space="preserve"> </w:t>
      </w:r>
      <w:r w:rsidR="007A31AC">
        <w:rPr>
          <w:b/>
          <w:bCs/>
          <w:sz w:val="22"/>
          <w:szCs w:val="22"/>
        </w:rPr>
        <w:t xml:space="preserve">in </w:t>
      </w:r>
      <w:r w:rsidR="00736C4E" w:rsidRPr="00736C4E">
        <w:rPr>
          <w:b/>
          <w:bCs/>
          <w:sz w:val="22"/>
          <w:szCs w:val="22"/>
        </w:rPr>
        <w:t>the</w:t>
      </w:r>
      <w:r w:rsidR="00736C4E" w:rsidRPr="004E405F">
        <w:rPr>
          <w:b/>
          <w:bCs/>
        </w:rPr>
        <w:t xml:space="preserve"> </w:t>
      </w:r>
      <w:r w:rsidR="00736C4E" w:rsidRPr="00736C4E">
        <w:rPr>
          <w:b/>
          <w:bCs/>
          <w:sz w:val="22"/>
          <w:szCs w:val="22"/>
        </w:rPr>
        <w:t>Palestinian Territory</w:t>
      </w:r>
      <w:r w:rsidR="00736C4E">
        <w:rPr>
          <w:b/>
          <w:bCs/>
        </w:rPr>
        <w:t>,</w:t>
      </w:r>
      <w:r w:rsidRPr="00A71C76">
        <w:rPr>
          <w:b/>
          <w:bCs/>
          <w:sz w:val="22"/>
          <w:szCs w:val="22"/>
        </w:rPr>
        <w:t xml:space="preserve"> (2004-2011)</w:t>
      </w:r>
      <w:r w:rsidRPr="00BC3D9F">
        <w:br/>
      </w:r>
      <w:r w:rsidRPr="00FA2D7F">
        <w:rPr>
          <w:b/>
          <w:bCs/>
          <w:sz w:val="18"/>
          <w:szCs w:val="18"/>
        </w:rPr>
        <w:t xml:space="preserve">(Value in </w:t>
      </w:r>
      <w:r w:rsidR="000E0C2C">
        <w:rPr>
          <w:b/>
          <w:bCs/>
          <w:sz w:val="18"/>
          <w:szCs w:val="18"/>
        </w:rPr>
        <w:t>USD</w:t>
      </w:r>
      <w:r w:rsidRPr="00FA2D7F">
        <w:rPr>
          <w:b/>
          <w:bCs/>
          <w:sz w:val="18"/>
          <w:szCs w:val="18"/>
        </w:rPr>
        <w:t xml:space="preserve"> Million)</w:t>
      </w:r>
      <w:r w:rsidRPr="00BC3D9F">
        <w:br/>
      </w:r>
      <w:r w:rsidRPr="00A71C76">
        <w:rPr>
          <w:noProof/>
          <w:lang w:eastAsia="en-US"/>
        </w:rPr>
        <w:drawing>
          <wp:inline distT="0" distB="0" distL="0" distR="0">
            <wp:extent cx="4729723" cy="2596551"/>
            <wp:effectExtent l="19050" t="0" r="13727" b="0"/>
            <wp:docPr id="20"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Pr="00BC3D9F">
        <w:br/>
      </w:r>
    </w:p>
    <w:p w:rsidR="00B4571F" w:rsidRDefault="00B4571F" w:rsidP="00B4571F">
      <w:pPr>
        <w:pStyle w:val="BodyText3"/>
        <w:spacing w:after="0" w:line="240" w:lineRule="auto"/>
        <w:jc w:val="center"/>
        <w:rPr>
          <w:b/>
          <w:bCs/>
          <w:sz w:val="22"/>
          <w:szCs w:val="22"/>
        </w:rPr>
      </w:pPr>
    </w:p>
    <w:p w:rsidR="009F20E3" w:rsidRPr="00A71C76" w:rsidRDefault="009F20E3" w:rsidP="00B4571F">
      <w:pPr>
        <w:pStyle w:val="BodyText3"/>
        <w:spacing w:after="0" w:line="240" w:lineRule="auto"/>
        <w:jc w:val="center"/>
        <w:rPr>
          <w:b/>
          <w:bCs/>
          <w:sz w:val="22"/>
          <w:szCs w:val="22"/>
        </w:rPr>
      </w:pPr>
    </w:p>
    <w:p w:rsidR="00B4571F" w:rsidRDefault="00B4571F" w:rsidP="00B4571F">
      <w:pPr>
        <w:spacing w:after="0"/>
        <w:rPr>
          <w:rFonts w:ascii="Times New Roman" w:hAnsi="Times New Roman" w:cs="Times New Roman"/>
          <w:sz w:val="24"/>
          <w:szCs w:val="24"/>
        </w:rPr>
      </w:pPr>
      <w:r w:rsidRPr="00A71C76">
        <w:rPr>
          <w:rFonts w:ascii="Times New Roman" w:hAnsi="Times New Roman" w:cs="Times New Roman"/>
          <w:b/>
          <w:bCs/>
          <w:sz w:val="24"/>
          <w:szCs w:val="24"/>
        </w:rPr>
        <w:t>8 – Banking sector:</w:t>
      </w:r>
    </w:p>
    <w:p w:rsidR="00B4571F" w:rsidRDefault="00B4571F" w:rsidP="00A22E5F">
      <w:pPr>
        <w:spacing w:after="0"/>
        <w:jc w:val="both"/>
        <w:rPr>
          <w:rFonts w:ascii="Times New Roman" w:hAnsi="Times New Roman" w:cs="Times New Roman"/>
          <w:sz w:val="24"/>
          <w:szCs w:val="24"/>
        </w:rPr>
      </w:pPr>
      <w:r w:rsidRPr="00A71C76">
        <w:rPr>
          <w:rFonts w:ascii="Times New Roman" w:hAnsi="Times New Roman" w:cs="Times New Roman"/>
          <w:sz w:val="24"/>
          <w:szCs w:val="24"/>
        </w:rPr>
        <w:br/>
      </w:r>
      <w:r w:rsidRPr="00943DFA">
        <w:rPr>
          <w:rFonts w:ascii="Times New Roman" w:hAnsi="Times New Roman" w:cs="Times New Roman"/>
          <w:b/>
          <w:bCs/>
          <w:sz w:val="24"/>
          <w:szCs w:val="24"/>
        </w:rPr>
        <w:t xml:space="preserve">The value of residents' deposits in local banks increased in 2011 by 2.2% to be accounted, at the end of the year, to about </w:t>
      </w:r>
      <w:r w:rsidR="000E0C2C">
        <w:rPr>
          <w:rFonts w:ascii="Times New Roman" w:hAnsi="Times New Roman" w:cs="Times New Roman"/>
          <w:b/>
          <w:bCs/>
          <w:sz w:val="24"/>
          <w:szCs w:val="24"/>
        </w:rPr>
        <w:t>USD</w:t>
      </w:r>
      <w:r w:rsidRPr="00943DFA">
        <w:rPr>
          <w:rFonts w:ascii="Times New Roman" w:hAnsi="Times New Roman" w:cs="Times New Roman"/>
          <w:b/>
          <w:bCs/>
          <w:sz w:val="24"/>
          <w:szCs w:val="24"/>
        </w:rPr>
        <w:t xml:space="preserve"> 6</w:t>
      </w:r>
      <w:r w:rsidR="00A22E5F">
        <w:rPr>
          <w:rFonts w:ascii="Times New Roman" w:hAnsi="Times New Roman" w:cs="Times New Roman"/>
          <w:b/>
          <w:bCs/>
          <w:sz w:val="24"/>
          <w:szCs w:val="24"/>
        </w:rPr>
        <w:t>,</w:t>
      </w:r>
      <w:r w:rsidR="00DE4AB8">
        <w:rPr>
          <w:rFonts w:ascii="Times New Roman" w:hAnsi="Times New Roman" w:cs="Times New Roman"/>
          <w:b/>
          <w:bCs/>
          <w:sz w:val="24"/>
          <w:szCs w:val="24"/>
        </w:rPr>
        <w:t>776.8 million</w:t>
      </w:r>
      <w:r w:rsidRPr="00943DFA">
        <w:rPr>
          <w:rFonts w:ascii="Times New Roman" w:hAnsi="Times New Roman" w:cs="Times New Roman"/>
          <w:b/>
          <w:bCs/>
          <w:sz w:val="24"/>
          <w:szCs w:val="24"/>
        </w:rPr>
        <w:t xml:space="preserve"> compared to </w:t>
      </w:r>
      <w:r w:rsidR="000E0C2C">
        <w:rPr>
          <w:rFonts w:ascii="Times New Roman" w:hAnsi="Times New Roman" w:cs="Times New Roman"/>
          <w:b/>
          <w:bCs/>
          <w:sz w:val="24"/>
          <w:szCs w:val="24"/>
        </w:rPr>
        <w:t>USD</w:t>
      </w:r>
      <w:r w:rsidRPr="00943DFA">
        <w:rPr>
          <w:rFonts w:ascii="Times New Roman" w:hAnsi="Times New Roman" w:cs="Times New Roman"/>
          <w:b/>
          <w:bCs/>
          <w:sz w:val="24"/>
          <w:szCs w:val="24"/>
        </w:rPr>
        <w:t xml:space="preserve"> 6</w:t>
      </w:r>
      <w:r w:rsidR="00A22E5F">
        <w:rPr>
          <w:rFonts w:ascii="Times New Roman" w:hAnsi="Times New Roman" w:cs="Times New Roman"/>
          <w:b/>
          <w:bCs/>
          <w:sz w:val="24"/>
          <w:szCs w:val="24"/>
        </w:rPr>
        <w:t>,</w:t>
      </w:r>
      <w:r w:rsidRPr="00943DFA">
        <w:rPr>
          <w:rFonts w:ascii="Times New Roman" w:hAnsi="Times New Roman" w:cs="Times New Roman"/>
          <w:b/>
          <w:bCs/>
          <w:sz w:val="24"/>
          <w:szCs w:val="24"/>
        </w:rPr>
        <w:t>630.3 million  in 2010.</w:t>
      </w:r>
      <w:r w:rsidRPr="00BC3D9F">
        <w:rPr>
          <w:rFonts w:ascii="Times New Roman" w:hAnsi="Times New Roman" w:cs="Times New Roman"/>
          <w:sz w:val="24"/>
          <w:szCs w:val="24"/>
        </w:rPr>
        <w:t xml:space="preserve"> According to data from the consolidated balance sheet of banks issued by the Palestinian Monetary Authority indicated that deposits of the Institutions of the Palestinian Authority constituted 6.4% of the total residents' deposits in 2011. On the other ha</w:t>
      </w:r>
      <w:r w:rsidR="00802056">
        <w:rPr>
          <w:rFonts w:ascii="Times New Roman" w:hAnsi="Times New Roman" w:cs="Times New Roman"/>
          <w:sz w:val="24"/>
          <w:szCs w:val="24"/>
        </w:rPr>
        <w:t xml:space="preserve">nd, it </w:t>
      </w:r>
      <w:r w:rsidRPr="00BC3D9F">
        <w:rPr>
          <w:rFonts w:ascii="Times New Roman" w:hAnsi="Times New Roman" w:cs="Times New Roman"/>
          <w:sz w:val="24"/>
          <w:szCs w:val="24"/>
        </w:rPr>
        <w:t xml:space="preserve">could be noted that there was an increase in the total of provided </w:t>
      </w:r>
      <w:r w:rsidR="00A22E5F">
        <w:rPr>
          <w:rFonts w:ascii="Times New Roman" w:hAnsi="Times New Roman" w:cs="Times New Roman"/>
          <w:sz w:val="24"/>
          <w:szCs w:val="24"/>
        </w:rPr>
        <w:t>credit</w:t>
      </w:r>
      <w:r w:rsidRPr="00BC3D9F">
        <w:rPr>
          <w:rFonts w:ascii="Times New Roman" w:hAnsi="Times New Roman" w:cs="Times New Roman"/>
          <w:sz w:val="24"/>
          <w:szCs w:val="24"/>
        </w:rPr>
        <w:t xml:space="preserve"> facilities during 2011 by 23.1% compared with 2010, including an increase in the provided banking facilities to finance purchase of cars and vehicles by 38.5% to </w:t>
      </w:r>
      <w:r w:rsidR="000E0C2C">
        <w:rPr>
          <w:rFonts w:ascii="Times New Roman" w:hAnsi="Times New Roman" w:cs="Times New Roman"/>
          <w:sz w:val="24"/>
          <w:szCs w:val="24"/>
        </w:rPr>
        <w:t>USD</w:t>
      </w:r>
      <w:r w:rsidRPr="00BC3D9F">
        <w:rPr>
          <w:rFonts w:ascii="Times New Roman" w:hAnsi="Times New Roman" w:cs="Times New Roman"/>
          <w:sz w:val="24"/>
          <w:szCs w:val="24"/>
        </w:rPr>
        <w:t xml:space="preserve">118.7 million in 2011 compared with </w:t>
      </w:r>
      <w:r w:rsidR="000E0C2C">
        <w:rPr>
          <w:rFonts w:ascii="Times New Roman" w:hAnsi="Times New Roman" w:cs="Times New Roman"/>
          <w:sz w:val="24"/>
          <w:szCs w:val="24"/>
        </w:rPr>
        <w:t>USD</w:t>
      </w:r>
      <w:r w:rsidRPr="00BC3D9F">
        <w:rPr>
          <w:rFonts w:ascii="Times New Roman" w:hAnsi="Times New Roman" w:cs="Times New Roman"/>
          <w:sz w:val="24"/>
          <w:szCs w:val="24"/>
        </w:rPr>
        <w:t xml:space="preserve"> 85.7 million in 2010.</w:t>
      </w:r>
    </w:p>
    <w:p w:rsidR="00B4571F" w:rsidRDefault="00B4571F" w:rsidP="00B4571F">
      <w:pPr>
        <w:spacing w:after="0"/>
        <w:jc w:val="both"/>
        <w:rPr>
          <w:rFonts w:ascii="Times New Roman" w:hAnsi="Times New Roman" w:cs="Times New Roman"/>
          <w:sz w:val="24"/>
          <w:szCs w:val="24"/>
        </w:rPr>
      </w:pPr>
    </w:p>
    <w:p w:rsidR="00B4571F" w:rsidRDefault="00B4571F" w:rsidP="00B4571F">
      <w:pPr>
        <w:spacing w:after="0"/>
        <w:jc w:val="both"/>
        <w:rPr>
          <w:rFonts w:ascii="Times New Roman" w:hAnsi="Times New Roman" w:cs="Times New Roman"/>
          <w:sz w:val="24"/>
          <w:szCs w:val="24"/>
        </w:rPr>
      </w:pPr>
    </w:p>
    <w:p w:rsidR="00020161" w:rsidRDefault="00020161" w:rsidP="00B4571F">
      <w:pPr>
        <w:spacing w:after="0"/>
        <w:jc w:val="both"/>
        <w:rPr>
          <w:rFonts w:ascii="Times New Roman" w:hAnsi="Times New Roman" w:cs="Times New Roman"/>
          <w:sz w:val="24"/>
          <w:szCs w:val="24"/>
        </w:rPr>
      </w:pPr>
    </w:p>
    <w:p w:rsidR="00020161" w:rsidRDefault="00020161" w:rsidP="00B4571F">
      <w:pPr>
        <w:spacing w:after="0"/>
        <w:jc w:val="both"/>
        <w:rPr>
          <w:rFonts w:ascii="Times New Roman" w:hAnsi="Times New Roman" w:cs="Times New Roman"/>
          <w:sz w:val="24"/>
          <w:szCs w:val="24"/>
        </w:rPr>
      </w:pPr>
    </w:p>
    <w:p w:rsidR="00020161" w:rsidRDefault="00020161" w:rsidP="00B4571F">
      <w:pPr>
        <w:spacing w:after="0"/>
        <w:jc w:val="both"/>
        <w:rPr>
          <w:rFonts w:ascii="Times New Roman" w:hAnsi="Times New Roman" w:cs="Times New Roman"/>
          <w:sz w:val="24"/>
          <w:szCs w:val="24"/>
        </w:rPr>
      </w:pPr>
    </w:p>
    <w:p w:rsidR="009F20E3" w:rsidRDefault="009F20E3" w:rsidP="00B4571F">
      <w:pPr>
        <w:spacing w:after="0"/>
        <w:jc w:val="both"/>
        <w:rPr>
          <w:rFonts w:ascii="Times New Roman" w:hAnsi="Times New Roman" w:cs="Times New Roman"/>
          <w:sz w:val="24"/>
          <w:szCs w:val="24"/>
        </w:rPr>
      </w:pPr>
    </w:p>
    <w:p w:rsidR="0054063B" w:rsidRDefault="0054063B" w:rsidP="00B4571F">
      <w:pPr>
        <w:spacing w:after="0"/>
        <w:jc w:val="both"/>
        <w:rPr>
          <w:rFonts w:ascii="Times New Roman" w:hAnsi="Times New Roman" w:cs="Times New Roman"/>
          <w:sz w:val="24"/>
          <w:szCs w:val="24"/>
        </w:rPr>
      </w:pPr>
    </w:p>
    <w:p w:rsidR="0054063B" w:rsidRDefault="0054063B" w:rsidP="00B4571F">
      <w:pPr>
        <w:spacing w:after="0"/>
        <w:jc w:val="both"/>
        <w:rPr>
          <w:rFonts w:ascii="Times New Roman" w:hAnsi="Times New Roman" w:cs="Times New Roman"/>
          <w:sz w:val="24"/>
          <w:szCs w:val="24"/>
        </w:rPr>
      </w:pPr>
    </w:p>
    <w:p w:rsidR="00B4571F" w:rsidRPr="00BC3D9F" w:rsidRDefault="00B4571F" w:rsidP="00B4571F">
      <w:pPr>
        <w:spacing w:after="0"/>
        <w:jc w:val="both"/>
        <w:rPr>
          <w:rFonts w:ascii="Times New Roman" w:hAnsi="Times New Roman" w:cs="Times New Roman"/>
          <w:b/>
          <w:bCs/>
          <w:color w:val="333333"/>
          <w:sz w:val="24"/>
          <w:szCs w:val="24"/>
        </w:rPr>
      </w:pPr>
      <w:r w:rsidRPr="00BC3D9F">
        <w:rPr>
          <w:rFonts w:ascii="Times New Roman" w:hAnsi="Times New Roman" w:cs="Times New Roman"/>
          <w:b/>
          <w:bCs/>
          <w:color w:val="333333"/>
          <w:sz w:val="24"/>
          <w:szCs w:val="24"/>
        </w:rPr>
        <w:lastRenderedPageBreak/>
        <w:t>9 - Economic activities</w:t>
      </w:r>
    </w:p>
    <w:p w:rsidR="00B4571F" w:rsidRDefault="00B4571F" w:rsidP="00B4571F">
      <w:pPr>
        <w:spacing w:after="0"/>
        <w:jc w:val="both"/>
        <w:rPr>
          <w:rFonts w:ascii="Times New Roman" w:hAnsi="Times New Roman" w:cs="Times New Roman"/>
          <w:sz w:val="24"/>
          <w:szCs w:val="24"/>
        </w:rPr>
      </w:pPr>
      <w:r w:rsidRPr="00BC3D9F">
        <w:rPr>
          <w:rFonts w:ascii="Times New Roman" w:hAnsi="Times New Roman" w:cs="Times New Roman"/>
          <w:color w:val="333333"/>
          <w:sz w:val="24"/>
          <w:szCs w:val="24"/>
        </w:rPr>
        <w:br/>
      </w:r>
      <w:r w:rsidRPr="00BC3D9F">
        <w:rPr>
          <w:rFonts w:ascii="Times New Roman" w:hAnsi="Times New Roman" w:cs="Times New Roman"/>
          <w:sz w:val="24"/>
          <w:szCs w:val="24"/>
        </w:rPr>
        <w:t>Palestinian economy is distributed on a set of economic activities that represent the structure of the economy. Table 10 shows the main economic indicators for the main activities in the Palestinian economy during 2011.</w:t>
      </w:r>
    </w:p>
    <w:p w:rsidR="00B4571F" w:rsidRPr="00BC3D9F" w:rsidRDefault="00B4571F" w:rsidP="00B4571F">
      <w:pPr>
        <w:spacing w:after="0"/>
        <w:jc w:val="both"/>
        <w:rPr>
          <w:rFonts w:ascii="Times New Roman" w:hAnsi="Times New Roman" w:cs="Times New Roman"/>
          <w:color w:val="333333"/>
          <w:sz w:val="24"/>
          <w:szCs w:val="24"/>
        </w:rPr>
      </w:pPr>
      <w:r w:rsidRPr="00BC3D9F">
        <w:rPr>
          <w:rFonts w:ascii="Times New Roman" w:hAnsi="Times New Roman" w:cs="Times New Roman"/>
          <w:sz w:val="24"/>
          <w:szCs w:val="24"/>
        </w:rPr>
        <w:br/>
      </w:r>
    </w:p>
    <w:p w:rsidR="00B4571F" w:rsidRPr="00A71C76" w:rsidRDefault="00B4571F" w:rsidP="00F60570">
      <w:pPr>
        <w:spacing w:after="0"/>
        <w:jc w:val="center"/>
        <w:rPr>
          <w:rFonts w:ascii="Times New Roman" w:hAnsi="Times New Roman" w:cs="Times New Roman"/>
          <w:b/>
          <w:bCs/>
          <w:color w:val="333333"/>
        </w:rPr>
      </w:pPr>
      <w:r w:rsidRPr="00A71C76">
        <w:rPr>
          <w:rFonts w:ascii="Times New Roman" w:hAnsi="Times New Roman" w:cs="Times New Roman"/>
          <w:b/>
          <w:bCs/>
          <w:color w:val="333333"/>
        </w:rPr>
        <w:t xml:space="preserve">Table 10: Main economic activities </w:t>
      </w:r>
      <w:r w:rsidR="00F60570">
        <w:rPr>
          <w:rFonts w:ascii="Times New Roman" w:hAnsi="Times New Roman" w:cs="Times New Roman"/>
          <w:b/>
          <w:bCs/>
          <w:color w:val="333333"/>
        </w:rPr>
        <w:t>by main</w:t>
      </w:r>
      <w:r w:rsidRPr="00A71C76">
        <w:rPr>
          <w:rFonts w:ascii="Times New Roman" w:hAnsi="Times New Roman" w:cs="Times New Roman"/>
          <w:b/>
          <w:bCs/>
          <w:color w:val="333333"/>
        </w:rPr>
        <w:t xml:space="preserve"> characteristics in</w:t>
      </w:r>
      <w:r w:rsidR="00F60570">
        <w:rPr>
          <w:rFonts w:ascii="Times New Roman" w:hAnsi="Times New Roman" w:cs="Times New Roman"/>
          <w:b/>
          <w:bCs/>
          <w:color w:val="333333"/>
        </w:rPr>
        <w:t xml:space="preserve"> </w:t>
      </w:r>
      <w:r w:rsidR="00F60570">
        <w:rPr>
          <w:rFonts w:ascii="Times New Roman" w:hAnsi="Times New Roman" w:cs="Times New Roman"/>
          <w:b/>
          <w:bCs/>
        </w:rPr>
        <w:t>the</w:t>
      </w:r>
      <w:r w:rsidR="00F60570" w:rsidRPr="004E405F">
        <w:rPr>
          <w:rFonts w:ascii="Times New Roman" w:hAnsi="Times New Roman" w:cs="Times New Roman"/>
          <w:b/>
          <w:bCs/>
        </w:rPr>
        <w:t xml:space="preserve"> Palestinian </w:t>
      </w:r>
      <w:r w:rsidR="00F60570">
        <w:rPr>
          <w:rFonts w:ascii="Times New Roman" w:hAnsi="Times New Roman" w:cs="Times New Roman"/>
          <w:b/>
          <w:bCs/>
        </w:rPr>
        <w:t>Territory</w:t>
      </w:r>
      <w:r w:rsidR="00F60570">
        <w:rPr>
          <w:rFonts w:ascii="Times New Roman" w:hAnsi="Times New Roman" w:cs="Times New Roman"/>
          <w:b/>
          <w:bCs/>
          <w:color w:val="333333"/>
        </w:rPr>
        <w:t>,</w:t>
      </w:r>
      <w:r w:rsidRPr="00A71C76">
        <w:rPr>
          <w:rFonts w:ascii="Times New Roman" w:hAnsi="Times New Roman" w:cs="Times New Roman"/>
          <w:b/>
          <w:bCs/>
          <w:color w:val="333333"/>
        </w:rPr>
        <w:t xml:space="preserve"> 2011</w:t>
      </w:r>
    </w:p>
    <w:tbl>
      <w:tblPr>
        <w:tblW w:w="9158" w:type="dxa"/>
        <w:jc w:val="center"/>
        <w:tblInd w:w="-313" w:type="dxa"/>
        <w:tblBorders>
          <w:top w:val="single" w:sz="12" w:space="0" w:color="auto"/>
          <w:bottom w:val="single" w:sz="12" w:space="0" w:color="auto"/>
        </w:tblBorders>
        <w:tblLook w:val="04A0"/>
      </w:tblPr>
      <w:tblGrid>
        <w:gridCol w:w="2185"/>
        <w:gridCol w:w="1206"/>
        <w:gridCol w:w="1500"/>
        <w:gridCol w:w="851"/>
        <w:gridCol w:w="972"/>
        <w:gridCol w:w="1087"/>
        <w:gridCol w:w="1357"/>
      </w:tblGrid>
      <w:tr w:rsidR="00B4571F" w:rsidRPr="00801667" w:rsidTr="00186D70">
        <w:trPr>
          <w:trHeight w:hRule="exact" w:val="391"/>
          <w:jc w:val="center"/>
        </w:trPr>
        <w:tc>
          <w:tcPr>
            <w:tcW w:w="2185" w:type="dxa"/>
            <w:tcBorders>
              <w:top w:val="single" w:sz="12" w:space="0" w:color="auto"/>
              <w:bottom w:val="single" w:sz="12" w:space="0" w:color="auto"/>
            </w:tcBorders>
            <w:vAlign w:val="center"/>
          </w:tcPr>
          <w:p w:rsidR="00B4571F" w:rsidRPr="002E4421" w:rsidRDefault="00B4571F" w:rsidP="00186D70">
            <w:pPr>
              <w:pStyle w:val="BodyText3"/>
              <w:ind w:left="15" w:right="-147"/>
              <w:jc w:val="center"/>
              <w:rPr>
                <w:rFonts w:ascii="Arial" w:hAnsi="Arial" w:cs="Arial"/>
                <w:sz w:val="18"/>
                <w:szCs w:val="18"/>
              </w:rPr>
            </w:pPr>
          </w:p>
        </w:tc>
        <w:tc>
          <w:tcPr>
            <w:tcW w:w="1206" w:type="dxa"/>
            <w:tcBorders>
              <w:top w:val="single" w:sz="12" w:space="0" w:color="auto"/>
              <w:bottom w:val="single" w:sz="12" w:space="0" w:color="auto"/>
            </w:tcBorders>
            <w:vAlign w:val="center"/>
          </w:tcPr>
          <w:p w:rsidR="00B4571F" w:rsidRPr="002E4421" w:rsidRDefault="00B4571F" w:rsidP="00186D70">
            <w:pPr>
              <w:pStyle w:val="BodyText3"/>
              <w:jc w:val="center"/>
              <w:rPr>
                <w:rFonts w:ascii="Arial" w:hAnsi="Arial" w:cs="Arial"/>
                <w:b/>
                <w:bCs/>
                <w:sz w:val="18"/>
                <w:szCs w:val="18"/>
              </w:rPr>
            </w:pPr>
            <w:r w:rsidRPr="002E4421">
              <w:rPr>
                <w:rFonts w:ascii="Arial" w:hAnsi="Arial" w:cs="Arial"/>
                <w:b/>
                <w:bCs/>
                <w:sz w:val="18"/>
                <w:szCs w:val="18"/>
              </w:rPr>
              <w:t>Agriculture</w:t>
            </w:r>
          </w:p>
        </w:tc>
        <w:tc>
          <w:tcPr>
            <w:tcW w:w="1500" w:type="dxa"/>
            <w:tcBorders>
              <w:top w:val="single" w:sz="12" w:space="0" w:color="auto"/>
              <w:bottom w:val="single" w:sz="12" w:space="0" w:color="auto"/>
            </w:tcBorders>
            <w:vAlign w:val="center"/>
          </w:tcPr>
          <w:p w:rsidR="00B4571F" w:rsidRPr="002E4421" w:rsidRDefault="00B4571F" w:rsidP="00186D70">
            <w:pPr>
              <w:pStyle w:val="BodyText3"/>
              <w:jc w:val="center"/>
              <w:rPr>
                <w:rFonts w:ascii="Arial" w:hAnsi="Arial" w:cs="Arial"/>
                <w:b/>
                <w:bCs/>
                <w:sz w:val="18"/>
                <w:szCs w:val="18"/>
              </w:rPr>
            </w:pPr>
            <w:r w:rsidRPr="002E4421">
              <w:rPr>
                <w:rFonts w:ascii="Arial" w:hAnsi="Arial" w:cs="Arial"/>
                <w:b/>
                <w:bCs/>
                <w:sz w:val="18"/>
                <w:szCs w:val="18"/>
              </w:rPr>
              <w:t>Manufacturing</w:t>
            </w:r>
          </w:p>
        </w:tc>
        <w:tc>
          <w:tcPr>
            <w:tcW w:w="851" w:type="dxa"/>
            <w:tcBorders>
              <w:top w:val="single" w:sz="12" w:space="0" w:color="auto"/>
              <w:bottom w:val="single" w:sz="12" w:space="0" w:color="auto"/>
            </w:tcBorders>
            <w:vAlign w:val="center"/>
          </w:tcPr>
          <w:p w:rsidR="00B4571F" w:rsidRPr="002E4421" w:rsidRDefault="00B4571F" w:rsidP="00186D70">
            <w:pPr>
              <w:pStyle w:val="BodyText3"/>
              <w:jc w:val="center"/>
              <w:rPr>
                <w:rFonts w:ascii="Arial" w:hAnsi="Arial" w:cs="Arial"/>
                <w:b/>
                <w:bCs/>
                <w:sz w:val="18"/>
                <w:szCs w:val="18"/>
              </w:rPr>
            </w:pPr>
            <w:r w:rsidRPr="002E4421">
              <w:rPr>
                <w:rFonts w:ascii="Arial" w:hAnsi="Arial" w:cs="Arial"/>
                <w:b/>
                <w:bCs/>
                <w:sz w:val="18"/>
                <w:szCs w:val="18"/>
              </w:rPr>
              <w:t>Trade</w:t>
            </w:r>
          </w:p>
        </w:tc>
        <w:tc>
          <w:tcPr>
            <w:tcW w:w="972" w:type="dxa"/>
            <w:tcBorders>
              <w:top w:val="single" w:sz="12" w:space="0" w:color="auto"/>
              <w:bottom w:val="single" w:sz="12" w:space="0" w:color="auto"/>
            </w:tcBorders>
            <w:vAlign w:val="center"/>
          </w:tcPr>
          <w:p w:rsidR="00B4571F" w:rsidRPr="002E4421" w:rsidRDefault="00B4571F" w:rsidP="00186D70">
            <w:pPr>
              <w:pStyle w:val="BodyText3"/>
              <w:jc w:val="center"/>
              <w:rPr>
                <w:rFonts w:ascii="Arial" w:hAnsi="Arial" w:cs="Arial"/>
                <w:b/>
                <w:bCs/>
                <w:sz w:val="18"/>
                <w:szCs w:val="18"/>
              </w:rPr>
            </w:pPr>
            <w:r w:rsidRPr="002E4421">
              <w:rPr>
                <w:rFonts w:ascii="Arial" w:hAnsi="Arial" w:cs="Arial"/>
                <w:b/>
                <w:bCs/>
                <w:sz w:val="18"/>
                <w:szCs w:val="18"/>
              </w:rPr>
              <w:t>Services</w:t>
            </w:r>
          </w:p>
        </w:tc>
        <w:tc>
          <w:tcPr>
            <w:tcW w:w="1087" w:type="dxa"/>
            <w:tcBorders>
              <w:top w:val="single" w:sz="12" w:space="0" w:color="auto"/>
              <w:bottom w:val="single" w:sz="12" w:space="0" w:color="auto"/>
            </w:tcBorders>
            <w:vAlign w:val="center"/>
          </w:tcPr>
          <w:p w:rsidR="00B4571F" w:rsidRPr="002E4421" w:rsidRDefault="00B4571F" w:rsidP="00186D70">
            <w:pPr>
              <w:pStyle w:val="BodyText3"/>
              <w:jc w:val="center"/>
              <w:rPr>
                <w:rFonts w:ascii="Arial" w:hAnsi="Arial" w:cs="Arial"/>
                <w:b/>
                <w:bCs/>
                <w:sz w:val="18"/>
                <w:szCs w:val="18"/>
              </w:rPr>
            </w:pPr>
            <w:r w:rsidRPr="002E4421">
              <w:rPr>
                <w:rFonts w:ascii="Arial" w:hAnsi="Arial" w:cs="Arial"/>
                <w:b/>
                <w:bCs/>
                <w:sz w:val="18"/>
                <w:szCs w:val="18"/>
              </w:rPr>
              <w:t>Transport</w:t>
            </w:r>
          </w:p>
        </w:tc>
        <w:tc>
          <w:tcPr>
            <w:tcW w:w="1357" w:type="dxa"/>
            <w:tcBorders>
              <w:top w:val="single" w:sz="12" w:space="0" w:color="auto"/>
              <w:bottom w:val="single" w:sz="12" w:space="0" w:color="auto"/>
            </w:tcBorders>
            <w:vAlign w:val="center"/>
          </w:tcPr>
          <w:p w:rsidR="00B4571F" w:rsidRPr="002E4421" w:rsidRDefault="00B4571F" w:rsidP="00186D70">
            <w:pPr>
              <w:pStyle w:val="BodyText3"/>
              <w:jc w:val="center"/>
              <w:rPr>
                <w:rFonts w:ascii="Arial" w:hAnsi="Arial" w:cs="Arial"/>
                <w:b/>
                <w:bCs/>
                <w:sz w:val="18"/>
                <w:szCs w:val="18"/>
              </w:rPr>
            </w:pPr>
            <w:r w:rsidRPr="002E4421">
              <w:rPr>
                <w:rFonts w:ascii="Arial" w:hAnsi="Arial" w:cs="Arial"/>
                <w:b/>
                <w:bCs/>
                <w:sz w:val="18"/>
                <w:szCs w:val="18"/>
              </w:rPr>
              <w:t>Construction</w:t>
            </w:r>
          </w:p>
        </w:tc>
      </w:tr>
      <w:tr w:rsidR="00B4571F" w:rsidRPr="00801667" w:rsidTr="00186D70">
        <w:trPr>
          <w:trHeight w:hRule="exact" w:val="391"/>
          <w:jc w:val="center"/>
        </w:trPr>
        <w:tc>
          <w:tcPr>
            <w:tcW w:w="2185" w:type="dxa"/>
            <w:tcBorders>
              <w:top w:val="single" w:sz="12" w:space="0" w:color="auto"/>
            </w:tcBorders>
            <w:vAlign w:val="center"/>
          </w:tcPr>
          <w:p w:rsidR="00B4571F" w:rsidRPr="002E4421" w:rsidRDefault="00B4571F" w:rsidP="00186D70">
            <w:pPr>
              <w:pStyle w:val="BodyText3"/>
              <w:jc w:val="left"/>
              <w:rPr>
                <w:rFonts w:ascii="Arial" w:hAnsi="Arial" w:cs="Arial"/>
                <w:sz w:val="18"/>
                <w:szCs w:val="18"/>
              </w:rPr>
            </w:pPr>
            <w:r w:rsidRPr="002E4421">
              <w:rPr>
                <w:rFonts w:ascii="Arial" w:hAnsi="Arial" w:cs="Arial"/>
                <w:sz w:val="18"/>
                <w:szCs w:val="18"/>
              </w:rPr>
              <w:t>Contribution to GDP</w:t>
            </w:r>
            <w:r>
              <w:rPr>
                <w:rFonts w:ascii="Arial" w:hAnsi="Arial" w:cs="Arial"/>
                <w:sz w:val="18"/>
                <w:szCs w:val="18"/>
              </w:rPr>
              <w:t xml:space="preserve"> (%)</w:t>
            </w:r>
          </w:p>
        </w:tc>
        <w:tc>
          <w:tcPr>
            <w:tcW w:w="1206" w:type="dxa"/>
            <w:tcBorders>
              <w:top w:val="single" w:sz="12" w:space="0" w:color="auto"/>
            </w:tcBorders>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5.5</w:t>
            </w:r>
          </w:p>
        </w:tc>
        <w:tc>
          <w:tcPr>
            <w:tcW w:w="1500" w:type="dxa"/>
            <w:tcBorders>
              <w:top w:val="single" w:sz="12" w:space="0" w:color="auto"/>
            </w:tcBorders>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12.6</w:t>
            </w:r>
          </w:p>
        </w:tc>
        <w:tc>
          <w:tcPr>
            <w:tcW w:w="851" w:type="dxa"/>
            <w:tcBorders>
              <w:top w:val="single" w:sz="12" w:space="0" w:color="auto"/>
            </w:tcBorders>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9.3</w:t>
            </w:r>
          </w:p>
        </w:tc>
        <w:tc>
          <w:tcPr>
            <w:tcW w:w="972" w:type="dxa"/>
            <w:tcBorders>
              <w:top w:val="single" w:sz="12" w:space="0" w:color="auto"/>
            </w:tcBorders>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21.9</w:t>
            </w:r>
          </w:p>
        </w:tc>
        <w:tc>
          <w:tcPr>
            <w:tcW w:w="1087" w:type="dxa"/>
            <w:tcBorders>
              <w:top w:val="single" w:sz="12" w:space="0" w:color="auto"/>
            </w:tcBorders>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2.1</w:t>
            </w:r>
          </w:p>
        </w:tc>
        <w:tc>
          <w:tcPr>
            <w:tcW w:w="1357" w:type="dxa"/>
            <w:tcBorders>
              <w:top w:val="single" w:sz="12" w:space="0" w:color="auto"/>
            </w:tcBorders>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11.2</w:t>
            </w:r>
          </w:p>
        </w:tc>
      </w:tr>
      <w:tr w:rsidR="00B4571F" w:rsidRPr="00801667" w:rsidTr="00186D70">
        <w:trPr>
          <w:trHeight w:hRule="exact" w:val="391"/>
          <w:jc w:val="center"/>
        </w:trPr>
        <w:tc>
          <w:tcPr>
            <w:tcW w:w="2185" w:type="dxa"/>
            <w:vAlign w:val="center"/>
          </w:tcPr>
          <w:p w:rsidR="00B4571F" w:rsidRPr="002E4421" w:rsidRDefault="00B4571F" w:rsidP="00186D70">
            <w:pPr>
              <w:pStyle w:val="BodyText3"/>
              <w:jc w:val="left"/>
              <w:rPr>
                <w:rFonts w:ascii="Arial" w:hAnsi="Arial" w:cs="Arial"/>
                <w:sz w:val="18"/>
                <w:szCs w:val="18"/>
              </w:rPr>
            </w:pPr>
            <w:r w:rsidRPr="002E4421">
              <w:rPr>
                <w:rFonts w:ascii="Arial" w:hAnsi="Arial" w:cs="Arial"/>
                <w:sz w:val="18"/>
                <w:szCs w:val="18"/>
              </w:rPr>
              <w:t>Value added (Million)</w:t>
            </w:r>
          </w:p>
        </w:tc>
        <w:tc>
          <w:tcPr>
            <w:tcW w:w="1206"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tl/>
              </w:rPr>
              <w:t>346.1</w:t>
            </w:r>
          </w:p>
        </w:tc>
        <w:tc>
          <w:tcPr>
            <w:tcW w:w="1500"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tl/>
              </w:rPr>
              <w:t>798.7</w:t>
            </w:r>
          </w:p>
        </w:tc>
        <w:tc>
          <w:tcPr>
            <w:tcW w:w="851"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tl/>
              </w:rPr>
              <w:t>587.0</w:t>
            </w:r>
          </w:p>
        </w:tc>
        <w:tc>
          <w:tcPr>
            <w:tcW w:w="972"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1,382.0</w:t>
            </w:r>
          </w:p>
        </w:tc>
        <w:tc>
          <w:tcPr>
            <w:tcW w:w="1087"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133.3</w:t>
            </w:r>
          </w:p>
        </w:tc>
        <w:tc>
          <w:tcPr>
            <w:tcW w:w="1357"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708.2</w:t>
            </w:r>
          </w:p>
        </w:tc>
      </w:tr>
      <w:tr w:rsidR="00B4571F" w:rsidRPr="00801667" w:rsidTr="00186D70">
        <w:trPr>
          <w:trHeight w:hRule="exact" w:val="439"/>
          <w:jc w:val="center"/>
        </w:trPr>
        <w:tc>
          <w:tcPr>
            <w:tcW w:w="2185" w:type="dxa"/>
            <w:vAlign w:val="center"/>
          </w:tcPr>
          <w:p w:rsidR="00B4571F" w:rsidRPr="002E4421" w:rsidRDefault="00B4571F" w:rsidP="00186D70">
            <w:pPr>
              <w:pStyle w:val="BodyText3"/>
              <w:jc w:val="left"/>
              <w:rPr>
                <w:rFonts w:ascii="Arial" w:hAnsi="Arial" w:cs="Arial"/>
                <w:sz w:val="18"/>
                <w:szCs w:val="18"/>
              </w:rPr>
            </w:pPr>
            <w:r w:rsidRPr="002E4421">
              <w:rPr>
                <w:rFonts w:ascii="Arial" w:hAnsi="Arial" w:cs="Arial"/>
                <w:sz w:val="18"/>
                <w:szCs w:val="18"/>
              </w:rPr>
              <w:t>Productivity rate(Dollar)</w:t>
            </w:r>
          </w:p>
        </w:tc>
        <w:tc>
          <w:tcPr>
            <w:tcW w:w="1206"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3,721.5</w:t>
            </w:r>
          </w:p>
        </w:tc>
        <w:tc>
          <w:tcPr>
            <w:tcW w:w="1500"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9,276.4</w:t>
            </w:r>
          </w:p>
        </w:tc>
        <w:tc>
          <w:tcPr>
            <w:tcW w:w="851"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3,809.2</w:t>
            </w:r>
          </w:p>
        </w:tc>
        <w:tc>
          <w:tcPr>
            <w:tcW w:w="972"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4,765.5</w:t>
            </w:r>
          </w:p>
        </w:tc>
        <w:tc>
          <w:tcPr>
            <w:tcW w:w="1087"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5,721.0</w:t>
            </w:r>
          </w:p>
        </w:tc>
        <w:tc>
          <w:tcPr>
            <w:tcW w:w="1357"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10,117.1</w:t>
            </w:r>
          </w:p>
        </w:tc>
      </w:tr>
      <w:tr w:rsidR="00B4571F" w:rsidRPr="00801667" w:rsidTr="00186D70">
        <w:trPr>
          <w:trHeight w:hRule="exact" w:val="391"/>
          <w:jc w:val="center"/>
        </w:trPr>
        <w:tc>
          <w:tcPr>
            <w:tcW w:w="2185" w:type="dxa"/>
            <w:vAlign w:val="center"/>
          </w:tcPr>
          <w:p w:rsidR="00B4571F" w:rsidRPr="002E4421" w:rsidRDefault="00B4571F" w:rsidP="00186D70">
            <w:pPr>
              <w:pStyle w:val="BodyText3"/>
              <w:jc w:val="left"/>
              <w:rPr>
                <w:rFonts w:ascii="Arial" w:hAnsi="Arial" w:cs="Arial"/>
                <w:sz w:val="18"/>
                <w:szCs w:val="18"/>
              </w:rPr>
            </w:pPr>
            <w:r w:rsidRPr="002E4421">
              <w:rPr>
                <w:rFonts w:ascii="Arial" w:hAnsi="Arial" w:cs="Arial"/>
                <w:sz w:val="18"/>
                <w:szCs w:val="18"/>
              </w:rPr>
              <w:t>Workers (Thousands</w:t>
            </w:r>
            <w:r w:rsidR="00F73D2A">
              <w:rPr>
                <w:rFonts w:ascii="Arial" w:hAnsi="Arial" w:cs="Arial"/>
                <w:sz w:val="18"/>
                <w:szCs w:val="18"/>
              </w:rPr>
              <w:t>*</w:t>
            </w:r>
            <w:r w:rsidRPr="002E4421">
              <w:rPr>
                <w:rFonts w:ascii="Arial" w:hAnsi="Arial" w:cs="Arial"/>
                <w:sz w:val="18"/>
                <w:szCs w:val="18"/>
              </w:rPr>
              <w:t>)</w:t>
            </w:r>
          </w:p>
        </w:tc>
        <w:tc>
          <w:tcPr>
            <w:tcW w:w="1206"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tl/>
              </w:rPr>
              <w:t>93</w:t>
            </w:r>
          </w:p>
        </w:tc>
        <w:tc>
          <w:tcPr>
            <w:tcW w:w="1500"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tl/>
              </w:rPr>
              <w:t>86</w:t>
            </w:r>
          </w:p>
        </w:tc>
        <w:tc>
          <w:tcPr>
            <w:tcW w:w="851"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tl/>
              </w:rPr>
              <w:t>154</w:t>
            </w:r>
          </w:p>
        </w:tc>
        <w:tc>
          <w:tcPr>
            <w:tcW w:w="972"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tl/>
              </w:rPr>
              <w:t>290</w:t>
            </w:r>
          </w:p>
        </w:tc>
        <w:tc>
          <w:tcPr>
            <w:tcW w:w="1087"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23</w:t>
            </w:r>
          </w:p>
        </w:tc>
        <w:tc>
          <w:tcPr>
            <w:tcW w:w="1357"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tl/>
              </w:rPr>
              <w:t>70</w:t>
            </w:r>
          </w:p>
        </w:tc>
      </w:tr>
      <w:tr w:rsidR="00B4571F" w:rsidRPr="00801667" w:rsidTr="00186D70">
        <w:trPr>
          <w:trHeight w:hRule="exact" w:val="576"/>
          <w:jc w:val="center"/>
        </w:trPr>
        <w:tc>
          <w:tcPr>
            <w:tcW w:w="2185" w:type="dxa"/>
            <w:vAlign w:val="center"/>
          </w:tcPr>
          <w:p w:rsidR="00B4571F" w:rsidRPr="002E4421" w:rsidRDefault="00B4571F" w:rsidP="00186D70">
            <w:pPr>
              <w:pStyle w:val="BodyText3"/>
              <w:jc w:val="left"/>
              <w:rPr>
                <w:rFonts w:ascii="Arial" w:hAnsi="Arial" w:cs="Arial"/>
                <w:sz w:val="18"/>
                <w:szCs w:val="18"/>
              </w:rPr>
            </w:pPr>
            <w:r w:rsidRPr="002E4421">
              <w:rPr>
                <w:rFonts w:ascii="Arial" w:hAnsi="Arial" w:cs="Arial"/>
                <w:sz w:val="18"/>
                <w:szCs w:val="18"/>
              </w:rPr>
              <w:t>Average daily wage (NIS)*</w:t>
            </w:r>
            <w:r w:rsidR="00F73D2A">
              <w:rPr>
                <w:rFonts w:ascii="Arial" w:hAnsi="Arial" w:cs="Arial"/>
                <w:sz w:val="18"/>
                <w:szCs w:val="18"/>
              </w:rPr>
              <w:t>*</w:t>
            </w:r>
          </w:p>
        </w:tc>
        <w:tc>
          <w:tcPr>
            <w:tcW w:w="1206"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55.7</w:t>
            </w:r>
          </w:p>
        </w:tc>
        <w:tc>
          <w:tcPr>
            <w:tcW w:w="1500"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79.6</w:t>
            </w:r>
          </w:p>
        </w:tc>
        <w:tc>
          <w:tcPr>
            <w:tcW w:w="851"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70.3</w:t>
            </w:r>
          </w:p>
        </w:tc>
        <w:tc>
          <w:tcPr>
            <w:tcW w:w="972"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93.6</w:t>
            </w:r>
          </w:p>
        </w:tc>
        <w:tc>
          <w:tcPr>
            <w:tcW w:w="1087"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101.9</w:t>
            </w:r>
          </w:p>
        </w:tc>
        <w:tc>
          <w:tcPr>
            <w:tcW w:w="1357" w:type="dxa"/>
            <w:vAlign w:val="center"/>
          </w:tcPr>
          <w:p w:rsidR="00B4571F" w:rsidRPr="002E4421" w:rsidRDefault="00B4571F" w:rsidP="00186D70">
            <w:pPr>
              <w:jc w:val="center"/>
              <w:rPr>
                <w:rFonts w:ascii="Arial" w:hAnsi="Arial"/>
                <w:color w:val="000000" w:themeColor="text1"/>
                <w:sz w:val="18"/>
                <w:szCs w:val="18"/>
              </w:rPr>
            </w:pPr>
            <w:r w:rsidRPr="002E4421">
              <w:rPr>
                <w:rFonts w:ascii="Arial" w:hAnsi="Arial"/>
                <w:color w:val="000000" w:themeColor="text1"/>
                <w:sz w:val="18"/>
                <w:szCs w:val="18"/>
              </w:rPr>
              <w:t>119.3</w:t>
            </w:r>
          </w:p>
        </w:tc>
      </w:tr>
    </w:tbl>
    <w:p w:rsidR="00B4571F" w:rsidRPr="00A71C76" w:rsidRDefault="00B4571F" w:rsidP="00F73D2A">
      <w:pPr>
        <w:spacing w:after="0"/>
        <w:jc w:val="both"/>
        <w:rPr>
          <w:rFonts w:ascii="Times New Roman" w:hAnsi="Times New Roman" w:cs="Times New Roman"/>
          <w:b/>
          <w:bCs/>
          <w:color w:val="333333"/>
          <w:sz w:val="18"/>
          <w:szCs w:val="18"/>
        </w:rPr>
      </w:pPr>
      <w:r w:rsidRPr="00A71C76">
        <w:rPr>
          <w:rFonts w:ascii="Times New Roman" w:hAnsi="Times New Roman" w:cs="Times New Roman"/>
          <w:color w:val="333333"/>
          <w:sz w:val="18"/>
          <w:szCs w:val="18"/>
        </w:rPr>
        <w:t xml:space="preserve">* Does not include </w:t>
      </w:r>
      <w:r w:rsidR="00940DEB">
        <w:rPr>
          <w:rFonts w:ascii="Times New Roman" w:hAnsi="Times New Roman" w:cs="Times New Roman"/>
          <w:color w:val="333333"/>
          <w:sz w:val="18"/>
          <w:szCs w:val="18"/>
        </w:rPr>
        <w:t>employees</w:t>
      </w:r>
      <w:r w:rsidRPr="00A71C76">
        <w:rPr>
          <w:rFonts w:ascii="Times New Roman" w:hAnsi="Times New Roman" w:cs="Times New Roman"/>
          <w:color w:val="333333"/>
          <w:sz w:val="18"/>
          <w:szCs w:val="18"/>
        </w:rPr>
        <w:t xml:space="preserve"> in “Israel” and settlements and </w:t>
      </w:r>
      <w:r w:rsidR="00F663D0">
        <w:rPr>
          <w:rFonts w:ascii="Times New Roman" w:hAnsi="Times New Roman" w:cs="Times New Roman"/>
          <w:color w:val="333333"/>
          <w:sz w:val="18"/>
          <w:szCs w:val="18"/>
        </w:rPr>
        <w:t>those</w:t>
      </w:r>
      <w:r w:rsidRPr="00A71C76">
        <w:rPr>
          <w:rFonts w:ascii="Times New Roman" w:hAnsi="Times New Roman" w:cs="Times New Roman"/>
          <w:color w:val="333333"/>
          <w:sz w:val="18"/>
          <w:szCs w:val="18"/>
        </w:rPr>
        <w:t xml:space="preserve"> part</w:t>
      </w:r>
      <w:r w:rsidR="00F663D0">
        <w:rPr>
          <w:rFonts w:ascii="Times New Roman" w:hAnsi="Times New Roman" w:cs="Times New Roman"/>
          <w:color w:val="333333"/>
          <w:sz w:val="18"/>
          <w:szCs w:val="18"/>
        </w:rPr>
        <w:t>s</w:t>
      </w:r>
      <w:r w:rsidRPr="00A71C76">
        <w:rPr>
          <w:rFonts w:ascii="Times New Roman" w:hAnsi="Times New Roman" w:cs="Times New Roman"/>
          <w:color w:val="333333"/>
          <w:sz w:val="18"/>
          <w:szCs w:val="18"/>
        </w:rPr>
        <w:t xml:space="preserve"> of Jerusalem </w:t>
      </w:r>
      <w:r w:rsidR="00F73D2A">
        <w:rPr>
          <w:rFonts w:ascii="Times New Roman" w:hAnsi="Times New Roman" w:cs="Times New Roman"/>
          <w:color w:val="333333"/>
          <w:sz w:val="18"/>
          <w:szCs w:val="18"/>
        </w:rPr>
        <w:t xml:space="preserve">which were </w:t>
      </w:r>
      <w:r w:rsidR="00F73D2A" w:rsidRPr="00F9483E">
        <w:rPr>
          <w:rFonts w:ascii="Times New Roman" w:hAnsi="Times New Roman" w:cs="Times New Roman"/>
          <w:sz w:val="18"/>
          <w:szCs w:val="18"/>
        </w:rPr>
        <w:t>annexed</w:t>
      </w:r>
      <w:r w:rsidR="0054063B">
        <w:rPr>
          <w:rFonts w:ascii="Times New Roman" w:hAnsi="Times New Roman" w:cs="Times New Roman"/>
          <w:color w:val="333333"/>
          <w:sz w:val="18"/>
          <w:szCs w:val="18"/>
        </w:rPr>
        <w:t xml:space="preserve"> by Israel</w:t>
      </w:r>
      <w:r w:rsidRPr="00A71C76">
        <w:rPr>
          <w:rFonts w:ascii="Times New Roman" w:hAnsi="Times New Roman" w:cs="Times New Roman"/>
          <w:color w:val="333333"/>
          <w:sz w:val="18"/>
          <w:szCs w:val="18"/>
        </w:rPr>
        <w:t xml:space="preserve"> in 1967.</w:t>
      </w:r>
      <w:r w:rsidRPr="00A71C76">
        <w:rPr>
          <w:rFonts w:ascii="Times New Roman" w:hAnsi="Times New Roman" w:cs="Times New Roman"/>
          <w:color w:val="333333"/>
          <w:sz w:val="18"/>
          <w:szCs w:val="18"/>
        </w:rPr>
        <w:br/>
        <w:t>*</w:t>
      </w:r>
      <w:r w:rsidR="00F73D2A">
        <w:rPr>
          <w:rFonts w:ascii="Times New Roman" w:hAnsi="Times New Roman" w:cs="Times New Roman"/>
          <w:color w:val="333333"/>
          <w:sz w:val="18"/>
          <w:szCs w:val="18"/>
        </w:rPr>
        <w:t>*</w:t>
      </w:r>
      <w:r w:rsidRPr="00A71C76">
        <w:rPr>
          <w:rFonts w:ascii="Times New Roman" w:hAnsi="Times New Roman" w:cs="Times New Roman"/>
          <w:color w:val="333333"/>
          <w:sz w:val="18"/>
          <w:szCs w:val="18"/>
        </w:rPr>
        <w:t xml:space="preserve"> See average exchange rate of US. dollar against the Israeli shekel, Table 1</w:t>
      </w:r>
      <w:r w:rsidR="00E3414A">
        <w:rPr>
          <w:rFonts w:ascii="Times New Roman" w:hAnsi="Times New Roman" w:cs="Times New Roman"/>
          <w:color w:val="333333"/>
          <w:sz w:val="18"/>
          <w:szCs w:val="18"/>
        </w:rPr>
        <w:t>2</w:t>
      </w:r>
      <w:r w:rsidRPr="00A71C76">
        <w:rPr>
          <w:rFonts w:ascii="Times New Roman" w:hAnsi="Times New Roman" w:cs="Times New Roman"/>
          <w:color w:val="333333"/>
          <w:sz w:val="18"/>
          <w:szCs w:val="18"/>
        </w:rPr>
        <w:t xml:space="preserve"> (annexes page).</w:t>
      </w:r>
      <w:r w:rsidRPr="00A71C76">
        <w:rPr>
          <w:rFonts w:ascii="Times New Roman" w:hAnsi="Times New Roman" w:cs="Times New Roman"/>
          <w:color w:val="333333"/>
          <w:sz w:val="18"/>
          <w:szCs w:val="18"/>
        </w:rPr>
        <w:br/>
      </w:r>
    </w:p>
    <w:p w:rsidR="00B4571F" w:rsidRPr="00BC3D9F" w:rsidRDefault="00B4571F" w:rsidP="00B4571F">
      <w:pPr>
        <w:spacing w:after="0"/>
        <w:jc w:val="both"/>
        <w:rPr>
          <w:rFonts w:ascii="Times New Roman" w:hAnsi="Times New Roman" w:cs="Times New Roman"/>
          <w:b/>
          <w:bCs/>
          <w:color w:val="333333"/>
          <w:sz w:val="24"/>
          <w:szCs w:val="24"/>
        </w:rPr>
      </w:pPr>
    </w:p>
    <w:p w:rsidR="00B4571F" w:rsidRPr="00BC3D9F" w:rsidRDefault="00B4571F" w:rsidP="0057092C">
      <w:pPr>
        <w:spacing w:after="0"/>
        <w:jc w:val="both"/>
        <w:rPr>
          <w:rFonts w:ascii="Times New Roman" w:hAnsi="Times New Roman" w:cs="Times New Roman"/>
          <w:sz w:val="24"/>
          <w:szCs w:val="24"/>
        </w:rPr>
      </w:pPr>
      <w:r w:rsidRPr="00BC3D9F">
        <w:rPr>
          <w:rFonts w:ascii="Times New Roman" w:hAnsi="Times New Roman" w:cs="Times New Roman"/>
          <w:b/>
          <w:bCs/>
          <w:sz w:val="24"/>
          <w:szCs w:val="24"/>
        </w:rPr>
        <w:t xml:space="preserve">Value added for services increased by 8.6% in 2011 compared with 2010 accompanied by improvement in the number of </w:t>
      </w:r>
      <w:r w:rsidR="00940DEB">
        <w:rPr>
          <w:rFonts w:ascii="Times New Roman" w:hAnsi="Times New Roman" w:cs="Times New Roman"/>
          <w:b/>
          <w:bCs/>
          <w:sz w:val="24"/>
          <w:szCs w:val="24"/>
        </w:rPr>
        <w:t>employees</w:t>
      </w:r>
      <w:r w:rsidRPr="00BC3D9F">
        <w:rPr>
          <w:rFonts w:ascii="Times New Roman" w:hAnsi="Times New Roman" w:cs="Times New Roman"/>
          <w:b/>
          <w:bCs/>
          <w:sz w:val="24"/>
          <w:szCs w:val="24"/>
        </w:rPr>
        <w:t xml:space="preserve"> by 6.9%. Services</w:t>
      </w:r>
      <w:r w:rsidRPr="00BC3D9F">
        <w:rPr>
          <w:rFonts w:ascii="Times New Roman" w:hAnsi="Times New Roman" w:cs="Times New Roman"/>
          <w:color w:val="333333"/>
          <w:sz w:val="24"/>
          <w:szCs w:val="24"/>
        </w:rPr>
        <w:t xml:space="preserve"> </w:t>
      </w:r>
      <w:r w:rsidRPr="00BC3D9F">
        <w:rPr>
          <w:rFonts w:ascii="Times New Roman" w:hAnsi="Times New Roman" w:cs="Times New Roman"/>
          <w:sz w:val="24"/>
          <w:szCs w:val="24"/>
        </w:rPr>
        <w:t xml:space="preserve">sector is on top of other sectors and activities concerning the value added and employment.  Its contribution to GDP reached 21.9% in 2011 and the number of its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reached 290 thousand representing about 35% of the number of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the Palestinian economy during that year. The nominal daily wage rate of paid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services sector reached 93.6 NIS which is slightly higher than the rate of the nominal daily wage in the Palestinian </w:t>
      </w:r>
      <w:r w:rsidR="002C7C30">
        <w:rPr>
          <w:rFonts w:ascii="Times New Roman" w:hAnsi="Times New Roman" w:cs="Times New Roman"/>
          <w:sz w:val="24"/>
          <w:szCs w:val="24"/>
        </w:rPr>
        <w:t>Territory</w:t>
      </w:r>
      <w:r w:rsidRPr="00BC3D9F">
        <w:rPr>
          <w:rFonts w:ascii="Times New Roman" w:hAnsi="Times New Roman" w:cs="Times New Roman"/>
          <w:sz w:val="24"/>
          <w:szCs w:val="24"/>
        </w:rPr>
        <w:t xml:space="preserve"> which is 91.7 shekels (Table 3); despite the fact that labor productivity in that activity reached</w:t>
      </w:r>
      <w:r w:rsidR="0057092C" w:rsidRPr="0057092C">
        <w:rPr>
          <w:rFonts w:ascii="Times New Roman" w:hAnsi="Times New Roman" w:cs="Times New Roman"/>
          <w:sz w:val="24"/>
          <w:szCs w:val="24"/>
        </w:rPr>
        <w:t xml:space="preserve"> </w:t>
      </w:r>
      <w:r w:rsidR="000E0C2C">
        <w:rPr>
          <w:rFonts w:ascii="Times New Roman" w:hAnsi="Times New Roman" w:cs="Times New Roman"/>
          <w:sz w:val="24"/>
          <w:szCs w:val="24"/>
        </w:rPr>
        <w:t>USD</w:t>
      </w:r>
      <w:r w:rsidR="0057092C" w:rsidRPr="00BC3D9F">
        <w:rPr>
          <w:rFonts w:ascii="Times New Roman" w:hAnsi="Times New Roman" w:cs="Times New Roman"/>
          <w:sz w:val="24"/>
          <w:szCs w:val="24"/>
        </w:rPr>
        <w:t xml:space="preserve"> </w:t>
      </w:r>
      <w:r w:rsidRPr="00BC3D9F">
        <w:rPr>
          <w:rFonts w:ascii="Times New Roman" w:hAnsi="Times New Roman" w:cs="Times New Roman"/>
          <w:sz w:val="24"/>
          <w:szCs w:val="24"/>
        </w:rPr>
        <w:t xml:space="preserve"> 4,765.5 in 2011 which is much lower than labor productivity in the</w:t>
      </w:r>
      <w:r w:rsidR="00510B3A">
        <w:rPr>
          <w:rFonts w:ascii="Times New Roman" w:hAnsi="Times New Roman" w:cs="Times New Roman"/>
          <w:sz w:val="24"/>
          <w:szCs w:val="24"/>
        </w:rPr>
        <w:t xml:space="preserve"> Palestinian economy as a whole (USD 8,578.6).</w:t>
      </w:r>
    </w:p>
    <w:p w:rsidR="00B4571F" w:rsidRDefault="00B4571F" w:rsidP="0057092C">
      <w:pPr>
        <w:spacing w:after="0"/>
        <w:jc w:val="both"/>
        <w:rPr>
          <w:rFonts w:ascii="Times New Roman" w:hAnsi="Times New Roman" w:cs="Times New Roman"/>
          <w:sz w:val="24"/>
          <w:szCs w:val="24"/>
        </w:rPr>
      </w:pPr>
      <w:r w:rsidRPr="00BC3D9F">
        <w:rPr>
          <w:rFonts w:ascii="Times New Roman" w:hAnsi="Times New Roman" w:cs="Times New Roman"/>
          <w:color w:val="333333"/>
          <w:sz w:val="24"/>
          <w:szCs w:val="24"/>
        </w:rPr>
        <w:br/>
      </w:r>
      <w:r w:rsidRPr="00BC3D9F">
        <w:rPr>
          <w:rFonts w:ascii="Times New Roman" w:hAnsi="Times New Roman" w:cs="Times New Roman"/>
          <w:b/>
          <w:bCs/>
          <w:sz w:val="24"/>
          <w:szCs w:val="24"/>
        </w:rPr>
        <w:t xml:space="preserve">Value added for industry increased by </w:t>
      </w:r>
      <w:r w:rsidR="00E3414A">
        <w:rPr>
          <w:rFonts w:ascii="Times New Roman" w:hAnsi="Times New Roman" w:cs="Times New Roman"/>
          <w:b/>
          <w:bCs/>
          <w:sz w:val="24"/>
          <w:szCs w:val="24"/>
        </w:rPr>
        <w:t>7.6</w:t>
      </w:r>
      <w:r w:rsidRPr="00BC3D9F">
        <w:rPr>
          <w:rFonts w:ascii="Times New Roman" w:hAnsi="Times New Roman" w:cs="Times New Roman"/>
          <w:b/>
          <w:bCs/>
          <w:sz w:val="24"/>
          <w:szCs w:val="24"/>
        </w:rPr>
        <w:t xml:space="preserve">% in 2011 and the number of </w:t>
      </w:r>
      <w:r w:rsidR="00940DEB">
        <w:rPr>
          <w:rFonts w:ascii="Times New Roman" w:hAnsi="Times New Roman" w:cs="Times New Roman"/>
          <w:b/>
          <w:bCs/>
          <w:sz w:val="24"/>
          <w:szCs w:val="24"/>
        </w:rPr>
        <w:t>employees</w:t>
      </w:r>
      <w:r w:rsidRPr="00BC3D9F">
        <w:rPr>
          <w:rFonts w:ascii="Times New Roman" w:hAnsi="Times New Roman" w:cs="Times New Roman"/>
          <w:b/>
          <w:bCs/>
          <w:sz w:val="24"/>
          <w:szCs w:val="24"/>
        </w:rPr>
        <w:t xml:space="preserve"> increased by 18.6% compared with 2010. Industry is the second sector after the services sector in terms of the value added and employment, which contributed to 12.6% in GDP in 2011 and the number of </w:t>
      </w:r>
      <w:r w:rsidR="00940DEB">
        <w:rPr>
          <w:rFonts w:ascii="Times New Roman" w:hAnsi="Times New Roman" w:cs="Times New Roman"/>
          <w:b/>
          <w:bCs/>
          <w:sz w:val="24"/>
          <w:szCs w:val="24"/>
        </w:rPr>
        <w:t>employees</w:t>
      </w:r>
      <w:r w:rsidRPr="00BC3D9F">
        <w:rPr>
          <w:rFonts w:ascii="Times New Roman" w:hAnsi="Times New Roman" w:cs="Times New Roman"/>
          <w:b/>
          <w:bCs/>
          <w:sz w:val="24"/>
          <w:szCs w:val="24"/>
        </w:rPr>
        <w:t xml:space="preserve"> reached 86 thousand representing 10.3% of the total </w:t>
      </w:r>
      <w:r w:rsidR="00940DEB">
        <w:rPr>
          <w:rFonts w:ascii="Times New Roman" w:hAnsi="Times New Roman" w:cs="Times New Roman"/>
          <w:b/>
          <w:bCs/>
          <w:sz w:val="24"/>
          <w:szCs w:val="24"/>
        </w:rPr>
        <w:t>employees</w:t>
      </w:r>
      <w:r w:rsidRPr="00BC3D9F">
        <w:rPr>
          <w:rFonts w:ascii="Times New Roman" w:hAnsi="Times New Roman" w:cs="Times New Roman"/>
          <w:b/>
          <w:bCs/>
          <w:sz w:val="24"/>
          <w:szCs w:val="24"/>
        </w:rPr>
        <w:t xml:space="preserve"> in the Palestinian </w:t>
      </w:r>
      <w:r w:rsidR="002C7C30">
        <w:rPr>
          <w:rFonts w:ascii="Times New Roman" w:hAnsi="Times New Roman" w:cs="Times New Roman"/>
          <w:b/>
          <w:bCs/>
          <w:sz w:val="24"/>
          <w:szCs w:val="24"/>
        </w:rPr>
        <w:t>Territory</w:t>
      </w:r>
      <w:r w:rsidRPr="00BC3D9F">
        <w:rPr>
          <w:rFonts w:ascii="Times New Roman" w:hAnsi="Times New Roman" w:cs="Times New Roman"/>
          <w:b/>
          <w:bCs/>
          <w:sz w:val="24"/>
          <w:szCs w:val="24"/>
        </w:rPr>
        <w:t xml:space="preserve"> during that year</w:t>
      </w:r>
      <w:r w:rsidRPr="00BC3D9F">
        <w:rPr>
          <w:rFonts w:ascii="Times New Roman" w:hAnsi="Times New Roman" w:cs="Times New Roman"/>
          <w:sz w:val="24"/>
          <w:szCs w:val="24"/>
        </w:rPr>
        <w:t xml:space="preserve">. Industry sector is characterized by high labor productivity which reached </w:t>
      </w:r>
      <w:r w:rsidR="000E0C2C">
        <w:rPr>
          <w:rFonts w:ascii="Times New Roman" w:hAnsi="Times New Roman" w:cs="Times New Roman"/>
          <w:sz w:val="24"/>
          <w:szCs w:val="24"/>
        </w:rPr>
        <w:t>USD</w:t>
      </w:r>
      <w:r w:rsidR="0057092C" w:rsidRPr="00BC3D9F">
        <w:rPr>
          <w:rFonts w:ascii="Times New Roman" w:hAnsi="Times New Roman" w:cs="Times New Roman"/>
          <w:sz w:val="24"/>
          <w:szCs w:val="24"/>
        </w:rPr>
        <w:t xml:space="preserve"> </w:t>
      </w:r>
      <w:r w:rsidRPr="00BC3D9F">
        <w:rPr>
          <w:rFonts w:ascii="Times New Roman" w:hAnsi="Times New Roman" w:cs="Times New Roman"/>
          <w:sz w:val="24"/>
          <w:szCs w:val="24"/>
        </w:rPr>
        <w:t xml:space="preserve"> 9,276.4 in 2011 which is the highest rate of productivity in the Palestinian economy  which reached </w:t>
      </w:r>
      <w:r w:rsidR="000E0C2C">
        <w:rPr>
          <w:rFonts w:ascii="Times New Roman" w:hAnsi="Times New Roman" w:cs="Times New Roman"/>
          <w:sz w:val="24"/>
          <w:szCs w:val="24"/>
        </w:rPr>
        <w:t>USD</w:t>
      </w:r>
      <w:r w:rsidR="0057092C" w:rsidRPr="00BC3D9F">
        <w:rPr>
          <w:rFonts w:ascii="Times New Roman" w:hAnsi="Times New Roman" w:cs="Times New Roman"/>
          <w:sz w:val="24"/>
          <w:szCs w:val="24"/>
        </w:rPr>
        <w:t xml:space="preserve"> </w:t>
      </w:r>
      <w:r w:rsidRPr="00BC3D9F">
        <w:rPr>
          <w:rFonts w:ascii="Times New Roman" w:hAnsi="Times New Roman" w:cs="Times New Roman"/>
          <w:sz w:val="24"/>
          <w:szCs w:val="24"/>
        </w:rPr>
        <w:t>8</w:t>
      </w:r>
      <w:r w:rsidR="00E3414A">
        <w:rPr>
          <w:rFonts w:ascii="Times New Roman" w:hAnsi="Times New Roman" w:cs="Times New Roman"/>
          <w:sz w:val="24"/>
          <w:szCs w:val="24"/>
        </w:rPr>
        <w:t>,</w:t>
      </w:r>
      <w:r w:rsidRPr="00BC3D9F">
        <w:rPr>
          <w:rFonts w:ascii="Times New Roman" w:hAnsi="Times New Roman" w:cs="Times New Roman"/>
          <w:sz w:val="24"/>
          <w:szCs w:val="24"/>
        </w:rPr>
        <w:t xml:space="preserve">578.6 dollars, although the nominal daily wage rate of paid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the industry sector reached 79.6 NIS, which is less than the nominal daily wage rate in the economy as a whole.</w:t>
      </w:r>
    </w:p>
    <w:p w:rsidR="00B4571F" w:rsidRDefault="00B4571F" w:rsidP="00B4571F">
      <w:pPr>
        <w:spacing w:after="0"/>
        <w:jc w:val="both"/>
        <w:rPr>
          <w:rFonts w:ascii="Times New Roman" w:hAnsi="Times New Roman" w:cs="Times New Roman"/>
          <w:sz w:val="24"/>
          <w:szCs w:val="24"/>
        </w:rPr>
      </w:pPr>
    </w:p>
    <w:p w:rsidR="00020161" w:rsidRDefault="00B4571F" w:rsidP="00B4571F">
      <w:pPr>
        <w:spacing w:after="0"/>
        <w:jc w:val="both"/>
        <w:rPr>
          <w:rFonts w:ascii="Times New Roman" w:hAnsi="Times New Roman" w:cs="Times New Roman"/>
          <w:b/>
          <w:bCs/>
          <w:sz w:val="24"/>
          <w:szCs w:val="24"/>
        </w:rPr>
      </w:pPr>
      <w:r w:rsidRPr="00BC3D9F">
        <w:rPr>
          <w:rFonts w:ascii="Times New Roman" w:hAnsi="Times New Roman" w:cs="Times New Roman"/>
          <w:b/>
          <w:bCs/>
          <w:color w:val="333333"/>
          <w:sz w:val="24"/>
          <w:szCs w:val="24"/>
        </w:rPr>
        <w:br/>
      </w:r>
    </w:p>
    <w:p w:rsidR="00B4571F" w:rsidRPr="00BC3D9F" w:rsidRDefault="00B4571F" w:rsidP="00153944">
      <w:pPr>
        <w:spacing w:after="0"/>
        <w:jc w:val="both"/>
        <w:rPr>
          <w:rFonts w:ascii="Times New Roman" w:hAnsi="Times New Roman" w:cs="Times New Roman"/>
          <w:color w:val="333333"/>
          <w:sz w:val="24"/>
          <w:szCs w:val="24"/>
        </w:rPr>
      </w:pPr>
      <w:r w:rsidRPr="00BC3D9F">
        <w:rPr>
          <w:rFonts w:ascii="Times New Roman" w:hAnsi="Times New Roman" w:cs="Times New Roman"/>
          <w:b/>
          <w:bCs/>
          <w:sz w:val="24"/>
          <w:szCs w:val="24"/>
        </w:rPr>
        <w:lastRenderedPageBreak/>
        <w:t xml:space="preserve">Value added of the agriculture sector increased by 9.9% in 2011 and the number of </w:t>
      </w:r>
      <w:r w:rsidR="00940DEB">
        <w:rPr>
          <w:rFonts w:ascii="Times New Roman" w:hAnsi="Times New Roman" w:cs="Times New Roman"/>
          <w:b/>
          <w:bCs/>
          <w:sz w:val="24"/>
          <w:szCs w:val="24"/>
        </w:rPr>
        <w:t>employees</w:t>
      </w:r>
      <w:r w:rsidRPr="00BC3D9F">
        <w:rPr>
          <w:rFonts w:ascii="Times New Roman" w:hAnsi="Times New Roman" w:cs="Times New Roman"/>
          <w:b/>
          <w:bCs/>
          <w:sz w:val="24"/>
          <w:szCs w:val="24"/>
        </w:rPr>
        <w:t xml:space="preserve"> increased by 14.7% compared with 2010 reaching 93 thousand </w:t>
      </w:r>
      <w:r w:rsidR="00940DEB">
        <w:rPr>
          <w:rFonts w:ascii="Times New Roman" w:hAnsi="Times New Roman" w:cs="Times New Roman"/>
          <w:b/>
          <w:bCs/>
          <w:sz w:val="24"/>
          <w:szCs w:val="24"/>
        </w:rPr>
        <w:t>employees</w:t>
      </w:r>
      <w:r w:rsidRPr="00BC3D9F">
        <w:rPr>
          <w:rFonts w:ascii="Times New Roman" w:hAnsi="Times New Roman" w:cs="Times New Roman"/>
          <w:b/>
          <w:bCs/>
          <w:sz w:val="24"/>
          <w:szCs w:val="24"/>
        </w:rPr>
        <w:t xml:space="preserve"> in 2011. Contribution of the agriculture sector in GDP reached 5.5% where the agricultural land reached 16.0% of the total land area of </w:t>
      </w:r>
      <w:r w:rsidRPr="00BC3D9F">
        <w:rPr>
          <w:rFonts w:cs="Times New Roman"/>
          <w:b/>
          <w:bCs/>
          <w:sz w:val="24"/>
          <w:szCs w:val="24"/>
        </w:rPr>
        <w:t>​​</w:t>
      </w:r>
      <w:r w:rsidRPr="00BC3D9F">
        <w:rPr>
          <w:rFonts w:ascii="Times New Roman" w:hAnsi="Times New Roman" w:cs="Times New Roman"/>
          <w:b/>
          <w:bCs/>
          <w:sz w:val="24"/>
          <w:szCs w:val="24"/>
        </w:rPr>
        <w:t>Palestine.</w:t>
      </w:r>
      <w:r w:rsidRPr="00BC3D9F">
        <w:rPr>
          <w:rFonts w:ascii="Times New Roman" w:hAnsi="Times New Roman" w:cs="Times New Roman"/>
          <w:color w:val="333333"/>
          <w:sz w:val="24"/>
          <w:szCs w:val="24"/>
        </w:rPr>
        <w:t xml:space="preserve"> </w:t>
      </w:r>
      <w:r w:rsidRPr="00BC3D9F">
        <w:rPr>
          <w:rFonts w:ascii="Times New Roman" w:hAnsi="Times New Roman" w:cs="Times New Roman"/>
          <w:sz w:val="24"/>
          <w:szCs w:val="24"/>
        </w:rPr>
        <w:t>On the other hand, laborer productivity in the agriculture sector reached</w:t>
      </w:r>
      <w:r w:rsidR="00153944">
        <w:rPr>
          <w:rFonts w:ascii="Times New Roman" w:hAnsi="Times New Roman" w:cs="Times New Roman"/>
          <w:sz w:val="24"/>
          <w:szCs w:val="24"/>
        </w:rPr>
        <w:t xml:space="preserve"> </w:t>
      </w:r>
      <w:r w:rsidR="000E0C2C">
        <w:rPr>
          <w:rFonts w:ascii="Times New Roman" w:hAnsi="Times New Roman" w:cs="Times New Roman"/>
          <w:sz w:val="24"/>
          <w:szCs w:val="24"/>
        </w:rPr>
        <w:t>USD</w:t>
      </w:r>
      <w:r w:rsidRPr="00BC3D9F">
        <w:rPr>
          <w:rFonts w:ascii="Times New Roman" w:hAnsi="Times New Roman" w:cs="Times New Roman"/>
          <w:sz w:val="24"/>
          <w:szCs w:val="24"/>
        </w:rPr>
        <w:t xml:space="preserve"> 3,721.5 which is the lowest in the main economic activities as it appears in Table 10.The nominal daily wage rate in this sector is the lowest also with 55.7 NIS in 2011 compared with the nominal daily wage rate in the economy which is  91.7 NIS.</w:t>
      </w:r>
    </w:p>
    <w:p w:rsidR="00B4571F" w:rsidRPr="00BC3D9F" w:rsidRDefault="00B4571F" w:rsidP="00A15F2A">
      <w:pPr>
        <w:spacing w:after="0"/>
        <w:jc w:val="both"/>
        <w:rPr>
          <w:rFonts w:ascii="Times New Roman" w:hAnsi="Times New Roman" w:cs="Times New Roman"/>
          <w:color w:val="333333"/>
          <w:sz w:val="24"/>
          <w:szCs w:val="24"/>
        </w:rPr>
      </w:pPr>
      <w:r w:rsidRPr="00BC3D9F">
        <w:rPr>
          <w:rFonts w:ascii="Times New Roman" w:hAnsi="Times New Roman" w:cs="Times New Roman"/>
          <w:b/>
          <w:bCs/>
          <w:sz w:val="24"/>
          <w:szCs w:val="24"/>
        </w:rPr>
        <w:br/>
        <w:t xml:space="preserve">The retail and wholesale trade is one of the important activities in the Palestinian economy. The number of </w:t>
      </w:r>
      <w:r w:rsidR="00940DEB">
        <w:rPr>
          <w:rFonts w:ascii="Times New Roman" w:hAnsi="Times New Roman" w:cs="Times New Roman"/>
          <w:b/>
          <w:bCs/>
          <w:sz w:val="24"/>
          <w:szCs w:val="24"/>
        </w:rPr>
        <w:t>employees</w:t>
      </w:r>
      <w:r w:rsidRPr="00BC3D9F">
        <w:rPr>
          <w:rFonts w:ascii="Times New Roman" w:hAnsi="Times New Roman" w:cs="Times New Roman"/>
          <w:b/>
          <w:bCs/>
          <w:sz w:val="24"/>
          <w:szCs w:val="24"/>
        </w:rPr>
        <w:t xml:space="preserve"> in this activity increased by 22.5% in 2011 compared with 2010 reaching 154 thousand </w:t>
      </w:r>
      <w:r w:rsidR="00940DEB">
        <w:rPr>
          <w:rFonts w:ascii="Times New Roman" w:hAnsi="Times New Roman" w:cs="Times New Roman"/>
          <w:b/>
          <w:bCs/>
          <w:sz w:val="24"/>
          <w:szCs w:val="24"/>
        </w:rPr>
        <w:t>employees</w:t>
      </w:r>
      <w:r w:rsidRPr="00BC3D9F">
        <w:rPr>
          <w:rFonts w:ascii="Times New Roman" w:hAnsi="Times New Roman" w:cs="Times New Roman"/>
          <w:b/>
          <w:bCs/>
          <w:sz w:val="24"/>
          <w:szCs w:val="24"/>
        </w:rPr>
        <w:t xml:space="preserve"> which coincided with the rise in the value added of this activity by 8.9% in 2011</w:t>
      </w:r>
      <w:r w:rsidRPr="00BC3D9F">
        <w:rPr>
          <w:rFonts w:ascii="Times New Roman" w:hAnsi="Times New Roman" w:cs="Times New Roman"/>
          <w:sz w:val="24"/>
          <w:szCs w:val="24"/>
        </w:rPr>
        <w:t>. The retail and wholesale trade contribution in GDP reached 9.3% in 2011 but the rate of wages and productivity remained low where nominal daily wage rate reached 70.3 NIS and the rate of productivity</w:t>
      </w:r>
      <w:r w:rsidR="00153944">
        <w:rPr>
          <w:rFonts w:ascii="Times New Roman" w:hAnsi="Times New Roman" w:cs="Times New Roman"/>
          <w:sz w:val="24"/>
          <w:szCs w:val="24"/>
        </w:rPr>
        <w:t xml:space="preserve">                </w:t>
      </w:r>
      <w:r w:rsidR="00153944" w:rsidRPr="00153944">
        <w:rPr>
          <w:rFonts w:ascii="Times New Roman" w:hAnsi="Times New Roman" w:cs="Times New Roman"/>
          <w:sz w:val="24"/>
          <w:szCs w:val="24"/>
        </w:rPr>
        <w:t xml:space="preserve"> </w:t>
      </w:r>
      <w:r w:rsidR="000E0C2C">
        <w:rPr>
          <w:rFonts w:ascii="Times New Roman" w:hAnsi="Times New Roman" w:cs="Times New Roman"/>
          <w:sz w:val="24"/>
          <w:szCs w:val="24"/>
        </w:rPr>
        <w:t>USD</w:t>
      </w:r>
      <w:r w:rsidR="00153944">
        <w:rPr>
          <w:rFonts w:ascii="Times New Roman" w:hAnsi="Times New Roman" w:cs="Times New Roman"/>
          <w:sz w:val="24"/>
          <w:szCs w:val="24"/>
        </w:rPr>
        <w:t xml:space="preserve"> </w:t>
      </w:r>
      <w:r w:rsidRPr="00BC3D9F">
        <w:rPr>
          <w:rFonts w:ascii="Times New Roman" w:hAnsi="Times New Roman" w:cs="Times New Roman"/>
          <w:sz w:val="24"/>
          <w:szCs w:val="24"/>
        </w:rPr>
        <w:t>3</w:t>
      </w:r>
      <w:r w:rsidR="00153944">
        <w:rPr>
          <w:rFonts w:ascii="Times New Roman" w:hAnsi="Times New Roman" w:cs="Times New Roman"/>
          <w:sz w:val="24"/>
          <w:szCs w:val="24"/>
        </w:rPr>
        <w:t>,</w:t>
      </w:r>
      <w:r w:rsidRPr="00BC3D9F">
        <w:rPr>
          <w:rFonts w:ascii="Times New Roman" w:hAnsi="Times New Roman" w:cs="Times New Roman"/>
          <w:sz w:val="24"/>
          <w:szCs w:val="24"/>
        </w:rPr>
        <w:t xml:space="preserve">809.2 per </w:t>
      </w:r>
      <w:r w:rsidR="00A15F2A">
        <w:rPr>
          <w:rFonts w:ascii="Times New Roman" w:hAnsi="Times New Roman" w:cs="Times New Roman"/>
          <w:sz w:val="24"/>
          <w:szCs w:val="24"/>
        </w:rPr>
        <w:t>worker</w:t>
      </w:r>
      <w:r w:rsidRPr="00BC3D9F">
        <w:rPr>
          <w:rFonts w:ascii="Times New Roman" w:hAnsi="Times New Roman" w:cs="Times New Roman"/>
          <w:sz w:val="24"/>
          <w:szCs w:val="24"/>
        </w:rPr>
        <w:t>, which are significantly lower than the rate of wages and productivity in the economy as a whole.</w:t>
      </w:r>
    </w:p>
    <w:p w:rsidR="00B4571F" w:rsidRDefault="00B4571F" w:rsidP="00A15F2A">
      <w:pPr>
        <w:spacing w:after="0"/>
        <w:jc w:val="both"/>
        <w:rPr>
          <w:rFonts w:ascii="Times New Roman" w:hAnsi="Times New Roman" w:cs="Times New Roman"/>
          <w:sz w:val="24"/>
          <w:szCs w:val="24"/>
        </w:rPr>
      </w:pPr>
      <w:r w:rsidRPr="00BC3D9F">
        <w:rPr>
          <w:rFonts w:ascii="Times New Roman" w:hAnsi="Times New Roman" w:cs="Times New Roman"/>
          <w:color w:val="333333"/>
          <w:sz w:val="24"/>
          <w:szCs w:val="24"/>
        </w:rPr>
        <w:br/>
      </w:r>
      <w:r w:rsidRPr="00BC3D9F">
        <w:rPr>
          <w:rFonts w:ascii="Times New Roman" w:hAnsi="Times New Roman" w:cs="Times New Roman"/>
          <w:b/>
          <w:bCs/>
          <w:sz w:val="24"/>
          <w:szCs w:val="24"/>
        </w:rPr>
        <w:t xml:space="preserve">As for the construction activity, value added increased by 26.9% in 2011 compared with 2010. The number of </w:t>
      </w:r>
      <w:r w:rsidR="00940DEB">
        <w:rPr>
          <w:rFonts w:ascii="Times New Roman" w:hAnsi="Times New Roman" w:cs="Times New Roman"/>
          <w:b/>
          <w:bCs/>
          <w:sz w:val="24"/>
          <w:szCs w:val="24"/>
        </w:rPr>
        <w:t>employees</w:t>
      </w:r>
      <w:r w:rsidRPr="00BC3D9F">
        <w:rPr>
          <w:rFonts w:ascii="Times New Roman" w:hAnsi="Times New Roman" w:cs="Times New Roman"/>
          <w:b/>
          <w:bCs/>
          <w:sz w:val="24"/>
          <w:szCs w:val="24"/>
        </w:rPr>
        <w:t xml:space="preserve"> increased by 22.6% reaching 70 thousand </w:t>
      </w:r>
      <w:r w:rsidR="00940DEB">
        <w:rPr>
          <w:rFonts w:ascii="Times New Roman" w:hAnsi="Times New Roman" w:cs="Times New Roman"/>
          <w:b/>
          <w:bCs/>
          <w:sz w:val="24"/>
          <w:szCs w:val="24"/>
        </w:rPr>
        <w:t>employees</w:t>
      </w:r>
      <w:r w:rsidRPr="00BC3D9F">
        <w:rPr>
          <w:rFonts w:ascii="Times New Roman" w:hAnsi="Times New Roman" w:cs="Times New Roman"/>
          <w:b/>
          <w:bCs/>
          <w:sz w:val="24"/>
          <w:szCs w:val="24"/>
        </w:rPr>
        <w:t xml:space="preserve"> in 2011</w:t>
      </w:r>
      <w:r w:rsidRPr="00BC3D9F">
        <w:rPr>
          <w:rFonts w:ascii="Times New Roman" w:hAnsi="Times New Roman" w:cs="Times New Roman"/>
          <w:sz w:val="24"/>
          <w:szCs w:val="24"/>
        </w:rPr>
        <w:t xml:space="preserve">. On the other hand, the rate of nominal daily wage per </w:t>
      </w:r>
      <w:r w:rsidR="00A15F2A">
        <w:rPr>
          <w:rFonts w:ascii="Times New Roman" w:hAnsi="Times New Roman" w:cs="Times New Roman"/>
          <w:sz w:val="24"/>
          <w:szCs w:val="24"/>
        </w:rPr>
        <w:t>worker</w:t>
      </w:r>
      <w:r w:rsidRPr="00BC3D9F">
        <w:rPr>
          <w:rFonts w:ascii="Times New Roman" w:hAnsi="Times New Roman" w:cs="Times New Roman"/>
          <w:sz w:val="24"/>
          <w:szCs w:val="24"/>
        </w:rPr>
        <w:t xml:space="preserve"> in construction activity reached NIS 119.3 which is the highest rate of the nominal daily wage compared with the other economic activities. The rate of </w:t>
      </w:r>
      <w:r w:rsidR="001F2EBE">
        <w:rPr>
          <w:rFonts w:ascii="Times New Roman" w:hAnsi="Times New Roman" w:cs="Times New Roman"/>
          <w:sz w:val="24"/>
          <w:szCs w:val="24"/>
        </w:rPr>
        <w:t xml:space="preserve"> </w:t>
      </w:r>
      <w:r w:rsidRPr="00BC3D9F">
        <w:rPr>
          <w:rFonts w:ascii="Times New Roman" w:hAnsi="Times New Roman" w:cs="Times New Roman"/>
          <w:sz w:val="24"/>
          <w:szCs w:val="24"/>
        </w:rPr>
        <w:t xml:space="preserve">labor productivity reached </w:t>
      </w:r>
      <w:r w:rsidR="000E0C2C">
        <w:rPr>
          <w:rFonts w:ascii="Times New Roman" w:hAnsi="Times New Roman" w:cs="Times New Roman"/>
          <w:sz w:val="24"/>
          <w:szCs w:val="24"/>
        </w:rPr>
        <w:t>USD</w:t>
      </w:r>
      <w:r w:rsidRPr="00BC3D9F">
        <w:rPr>
          <w:rFonts w:ascii="Times New Roman" w:hAnsi="Times New Roman" w:cs="Times New Roman"/>
          <w:sz w:val="24"/>
          <w:szCs w:val="24"/>
        </w:rPr>
        <w:t xml:space="preserve"> 10,117.1, which is also the highest rate of productivity among the main economic activities. Construction activity is considered a key item in the fixed capital formation which falls within the calculation of GDP which represents a basic element in studying the structure and evolution of the Palestinian economy.</w:t>
      </w:r>
    </w:p>
    <w:p w:rsidR="00FE6B5F" w:rsidRDefault="00FE6B5F" w:rsidP="00B4571F">
      <w:pPr>
        <w:spacing w:after="0"/>
        <w:jc w:val="both"/>
        <w:rPr>
          <w:rFonts w:ascii="Times New Roman" w:hAnsi="Times New Roman" w:cs="Times New Roman"/>
          <w:sz w:val="24"/>
          <w:szCs w:val="24"/>
        </w:rPr>
      </w:pPr>
    </w:p>
    <w:p w:rsidR="00FE6B5F" w:rsidRDefault="00FE6B5F" w:rsidP="00B4571F">
      <w:pPr>
        <w:spacing w:after="0"/>
        <w:jc w:val="both"/>
        <w:rPr>
          <w:rFonts w:ascii="Times New Roman" w:hAnsi="Times New Roman" w:cs="Times New Roman"/>
          <w:color w:val="333333"/>
          <w:sz w:val="24"/>
          <w:szCs w:val="24"/>
        </w:rPr>
      </w:pPr>
    </w:p>
    <w:p w:rsidR="00B4571F" w:rsidRDefault="00B4571F" w:rsidP="00B4571F">
      <w:pPr>
        <w:spacing w:after="0"/>
        <w:jc w:val="both"/>
        <w:rPr>
          <w:rFonts w:ascii="Times New Roman" w:hAnsi="Times New Roman" w:cs="Times New Roman"/>
          <w:color w:val="333333"/>
          <w:sz w:val="24"/>
          <w:szCs w:val="24"/>
        </w:rPr>
      </w:pPr>
      <w:r w:rsidRPr="00BC3D9F">
        <w:rPr>
          <w:rFonts w:ascii="Times New Roman" w:hAnsi="Times New Roman" w:cs="Times New Roman"/>
          <w:b/>
          <w:bCs/>
          <w:sz w:val="24"/>
          <w:szCs w:val="24"/>
        </w:rPr>
        <w:t xml:space="preserve">Building licenses are indicators which refer to construction status in the Palestinian </w:t>
      </w:r>
      <w:r w:rsidR="002C7C30">
        <w:rPr>
          <w:rFonts w:ascii="Times New Roman" w:hAnsi="Times New Roman" w:cs="Times New Roman"/>
          <w:b/>
          <w:bCs/>
          <w:sz w:val="24"/>
          <w:szCs w:val="24"/>
        </w:rPr>
        <w:t>Territory</w:t>
      </w:r>
      <w:r w:rsidRPr="00BC3D9F">
        <w:rPr>
          <w:rFonts w:ascii="Times New Roman" w:hAnsi="Times New Roman" w:cs="Times New Roman"/>
          <w:b/>
          <w:bCs/>
          <w:sz w:val="24"/>
          <w:szCs w:val="24"/>
        </w:rPr>
        <w:t>. During 2011, building licenses increased by 21.7% compared with 2010. The results indicated that constructing new buildings was significantly active during 2011. Administrative records from the Ministry of Local Government indicated that about 56.7% of licenses are licenses issued for new buildings</w:t>
      </w:r>
      <w:r w:rsidRPr="00BC3D9F">
        <w:rPr>
          <w:rFonts w:ascii="Times New Roman" w:hAnsi="Times New Roman" w:cs="Times New Roman"/>
          <w:sz w:val="24"/>
          <w:szCs w:val="24"/>
        </w:rPr>
        <w:t xml:space="preserve">. Figure 21 shows fluctuation in the number of building licenses issued in the Palestinian </w:t>
      </w:r>
      <w:r w:rsidR="002C7C30">
        <w:rPr>
          <w:rFonts w:ascii="Times New Roman" w:hAnsi="Times New Roman" w:cs="Times New Roman"/>
          <w:sz w:val="24"/>
          <w:szCs w:val="24"/>
        </w:rPr>
        <w:t>Territory</w:t>
      </w:r>
      <w:r w:rsidRPr="00BC3D9F">
        <w:rPr>
          <w:rFonts w:ascii="Times New Roman" w:hAnsi="Times New Roman" w:cs="Times New Roman"/>
          <w:sz w:val="24"/>
          <w:szCs w:val="24"/>
        </w:rPr>
        <w:t xml:space="preserve"> during the period 2004-2011 where the administrative records indicated to a rise in the number of licenses issued during 2005, followed by a sharp decline in 2007 with a total number of 4,488 building licenses; then the indicator began to rise since 2008 until 2011 achieving its highest value during that year by 7,708 licenses.</w:t>
      </w:r>
    </w:p>
    <w:p w:rsidR="00020161" w:rsidRDefault="00020161" w:rsidP="00B4571F">
      <w:pPr>
        <w:spacing w:after="0"/>
        <w:jc w:val="both"/>
        <w:rPr>
          <w:rFonts w:ascii="Times New Roman" w:hAnsi="Times New Roman" w:cs="Times New Roman"/>
          <w:color w:val="333333"/>
          <w:sz w:val="24"/>
          <w:szCs w:val="24"/>
        </w:rPr>
      </w:pPr>
    </w:p>
    <w:p w:rsidR="00020161" w:rsidRDefault="00020161" w:rsidP="00B4571F">
      <w:pPr>
        <w:spacing w:after="0"/>
        <w:jc w:val="both"/>
        <w:rPr>
          <w:rFonts w:ascii="Times New Roman" w:hAnsi="Times New Roman" w:cs="Times New Roman"/>
          <w:color w:val="333333"/>
          <w:sz w:val="24"/>
          <w:szCs w:val="24"/>
        </w:rPr>
      </w:pPr>
    </w:p>
    <w:p w:rsidR="00020161" w:rsidRDefault="00020161" w:rsidP="00B4571F">
      <w:pPr>
        <w:spacing w:after="0"/>
        <w:jc w:val="both"/>
        <w:rPr>
          <w:rFonts w:ascii="Times New Roman" w:hAnsi="Times New Roman" w:cs="Times New Roman"/>
          <w:color w:val="333333"/>
          <w:sz w:val="24"/>
          <w:szCs w:val="24"/>
        </w:rPr>
      </w:pPr>
    </w:p>
    <w:p w:rsidR="00781C6E" w:rsidRDefault="00781C6E" w:rsidP="00781C6E">
      <w:pPr>
        <w:spacing w:after="0"/>
        <w:rPr>
          <w:rFonts w:ascii="Times New Roman" w:hAnsi="Times New Roman" w:cs="Times New Roman"/>
          <w:color w:val="333333"/>
          <w:sz w:val="24"/>
          <w:szCs w:val="24"/>
        </w:rPr>
      </w:pPr>
    </w:p>
    <w:p w:rsidR="00B4571F" w:rsidRPr="00A71C76" w:rsidRDefault="00B4571F" w:rsidP="00A47C3B">
      <w:pPr>
        <w:spacing w:after="0"/>
        <w:jc w:val="center"/>
        <w:rPr>
          <w:rFonts w:ascii="Times New Roman" w:hAnsi="Times New Roman" w:cs="Times New Roman"/>
          <w:b/>
          <w:bCs/>
        </w:rPr>
      </w:pPr>
      <w:r w:rsidRPr="00BC3D9F">
        <w:rPr>
          <w:rFonts w:ascii="Times New Roman" w:hAnsi="Times New Roman" w:cs="Times New Roman"/>
          <w:b/>
          <w:bCs/>
          <w:sz w:val="24"/>
          <w:szCs w:val="24"/>
        </w:rPr>
        <w:lastRenderedPageBreak/>
        <w:br/>
      </w:r>
      <w:r w:rsidRPr="00A71C76">
        <w:rPr>
          <w:rFonts w:ascii="Times New Roman" w:hAnsi="Times New Roman" w:cs="Times New Roman"/>
          <w:b/>
          <w:bCs/>
        </w:rPr>
        <w:t xml:space="preserve">Figure 21: </w:t>
      </w:r>
      <w:r w:rsidR="00736C4E">
        <w:rPr>
          <w:rFonts w:ascii="Times New Roman" w:hAnsi="Times New Roman" w:cs="Times New Roman"/>
          <w:b/>
          <w:bCs/>
        </w:rPr>
        <w:t>I</w:t>
      </w:r>
      <w:r w:rsidR="00736C4E" w:rsidRPr="00A71C76">
        <w:rPr>
          <w:rFonts w:ascii="Times New Roman" w:hAnsi="Times New Roman" w:cs="Times New Roman"/>
          <w:b/>
          <w:bCs/>
        </w:rPr>
        <w:t xml:space="preserve">ssued </w:t>
      </w:r>
      <w:r w:rsidR="00736C4E">
        <w:rPr>
          <w:rFonts w:ascii="Times New Roman" w:hAnsi="Times New Roman" w:cs="Times New Roman"/>
          <w:b/>
          <w:bCs/>
        </w:rPr>
        <w:t>b</w:t>
      </w:r>
      <w:r w:rsidRPr="00A71C76">
        <w:rPr>
          <w:rFonts w:ascii="Times New Roman" w:hAnsi="Times New Roman" w:cs="Times New Roman"/>
          <w:b/>
          <w:bCs/>
        </w:rPr>
        <w:t xml:space="preserve">uilding licenses in the Palestinian </w:t>
      </w:r>
      <w:r w:rsidR="002C7C30">
        <w:rPr>
          <w:rFonts w:ascii="Times New Roman" w:hAnsi="Times New Roman" w:cs="Times New Roman"/>
          <w:b/>
          <w:bCs/>
        </w:rPr>
        <w:t>Territory</w:t>
      </w:r>
      <w:r w:rsidRPr="00A71C76">
        <w:rPr>
          <w:rFonts w:ascii="Times New Roman" w:hAnsi="Times New Roman" w:cs="Times New Roman"/>
          <w:b/>
          <w:bCs/>
        </w:rPr>
        <w:t xml:space="preserve"> (2004-2011)</w:t>
      </w:r>
    </w:p>
    <w:p w:rsidR="00B4571F" w:rsidRPr="00BC3D9F" w:rsidRDefault="00B4571F" w:rsidP="00B4571F">
      <w:pPr>
        <w:spacing w:after="0"/>
        <w:jc w:val="center"/>
        <w:rPr>
          <w:rFonts w:ascii="Times New Roman" w:hAnsi="Times New Roman" w:cs="Times New Roman"/>
          <w:b/>
          <w:bCs/>
          <w:color w:val="333333"/>
          <w:sz w:val="24"/>
          <w:szCs w:val="24"/>
        </w:rPr>
      </w:pPr>
      <w:r w:rsidRPr="00BC3D9F">
        <w:rPr>
          <w:rFonts w:ascii="Times New Roman" w:hAnsi="Times New Roman" w:cs="Times New Roman"/>
          <w:b/>
          <w:bCs/>
          <w:noProof/>
          <w:color w:val="333333"/>
          <w:sz w:val="24"/>
          <w:szCs w:val="24"/>
          <w:rtl/>
        </w:rPr>
        <w:drawing>
          <wp:inline distT="0" distB="0" distL="0" distR="0">
            <wp:extent cx="4689176" cy="2286000"/>
            <wp:effectExtent l="19050" t="0" r="16174" b="0"/>
            <wp:docPr id="21"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4571F" w:rsidRDefault="00B4571F" w:rsidP="00B4571F">
      <w:pPr>
        <w:spacing w:after="0"/>
        <w:jc w:val="both"/>
        <w:rPr>
          <w:rFonts w:ascii="Times New Roman" w:hAnsi="Times New Roman" w:cs="Times New Roman"/>
          <w:color w:val="333333"/>
          <w:sz w:val="24"/>
          <w:szCs w:val="24"/>
        </w:rPr>
      </w:pPr>
      <w:r w:rsidRPr="00BC3D9F">
        <w:rPr>
          <w:rFonts w:ascii="Times New Roman" w:hAnsi="Times New Roman" w:cs="Times New Roman"/>
          <w:b/>
          <w:bCs/>
          <w:sz w:val="24"/>
          <w:szCs w:val="24"/>
        </w:rPr>
        <w:br/>
        <w:t xml:space="preserve">The quantities of cement imported from abroad are important indicators that reflect the performance of the construction sector in the Palestinian </w:t>
      </w:r>
      <w:r w:rsidR="002C7C30">
        <w:rPr>
          <w:rFonts w:ascii="Times New Roman" w:hAnsi="Times New Roman" w:cs="Times New Roman"/>
          <w:b/>
          <w:bCs/>
          <w:sz w:val="24"/>
          <w:szCs w:val="24"/>
        </w:rPr>
        <w:t>Territory</w:t>
      </w:r>
      <w:r w:rsidRPr="00BC3D9F">
        <w:rPr>
          <w:rFonts w:ascii="Times New Roman" w:hAnsi="Times New Roman" w:cs="Times New Roman"/>
          <w:b/>
          <w:bCs/>
          <w:sz w:val="24"/>
          <w:szCs w:val="24"/>
        </w:rPr>
        <w:t>. The imported amounts of cement decreased in 2011 by 1.3% to 1,326.3 thousand tons in 2011 compared to 1,344.4 tons in 2010</w:t>
      </w:r>
      <w:r w:rsidRPr="00BC3D9F">
        <w:rPr>
          <w:rFonts w:ascii="Times New Roman" w:hAnsi="Times New Roman" w:cs="Times New Roman"/>
          <w:b/>
          <w:bCs/>
          <w:color w:val="333333"/>
          <w:sz w:val="24"/>
          <w:szCs w:val="24"/>
        </w:rPr>
        <w:t>.</w:t>
      </w:r>
      <w:r w:rsidRPr="00BC3D9F">
        <w:rPr>
          <w:rFonts w:ascii="Times New Roman" w:hAnsi="Times New Roman" w:cs="Times New Roman"/>
          <w:color w:val="333333"/>
          <w:sz w:val="24"/>
          <w:szCs w:val="24"/>
        </w:rPr>
        <w:t xml:space="preserve"> </w:t>
      </w:r>
      <w:r w:rsidRPr="00BC3D9F">
        <w:rPr>
          <w:rFonts w:ascii="Times New Roman" w:hAnsi="Times New Roman" w:cs="Times New Roman"/>
          <w:sz w:val="24"/>
          <w:szCs w:val="24"/>
        </w:rPr>
        <w:t>It is worth mentioning that the Gaza Strip witnessed a noticeable decline in the quantities of cement imported from 2006 to 2010 where data shows that there were no cement amounts entered into Gaza Strip from abroad in 2009 (Figure 22).</w:t>
      </w:r>
    </w:p>
    <w:p w:rsidR="00B4571F" w:rsidRPr="00736C4E" w:rsidRDefault="00B4571F" w:rsidP="001B3658">
      <w:pPr>
        <w:spacing w:after="0"/>
        <w:jc w:val="center"/>
        <w:rPr>
          <w:rFonts w:ascii="Times New Roman" w:hAnsi="Times New Roman" w:cs="Times New Roman"/>
          <w:b/>
          <w:bCs/>
        </w:rPr>
      </w:pPr>
      <w:r w:rsidRPr="00BC3D9F">
        <w:rPr>
          <w:rFonts w:ascii="Times New Roman" w:hAnsi="Times New Roman" w:cs="Times New Roman"/>
          <w:color w:val="333333"/>
          <w:sz w:val="24"/>
          <w:szCs w:val="24"/>
        </w:rPr>
        <w:br/>
      </w:r>
      <w:r w:rsidRPr="00736C4E">
        <w:rPr>
          <w:rFonts w:ascii="Times New Roman" w:hAnsi="Times New Roman" w:cs="Times New Roman"/>
          <w:b/>
          <w:bCs/>
        </w:rPr>
        <w:t>Figure 22: Quantities of imported</w:t>
      </w:r>
      <w:r w:rsidR="001B3658" w:rsidRPr="001B3658">
        <w:rPr>
          <w:rFonts w:ascii="Times New Roman" w:hAnsi="Times New Roman" w:cs="Times New Roman"/>
          <w:b/>
          <w:bCs/>
        </w:rPr>
        <w:t xml:space="preserve"> </w:t>
      </w:r>
      <w:r w:rsidR="001B3658" w:rsidRPr="00736C4E">
        <w:rPr>
          <w:rFonts w:ascii="Times New Roman" w:hAnsi="Times New Roman" w:cs="Times New Roman"/>
          <w:b/>
          <w:bCs/>
        </w:rPr>
        <w:t>cement</w:t>
      </w:r>
      <w:r w:rsidRPr="00736C4E">
        <w:rPr>
          <w:rFonts w:ascii="Times New Roman" w:hAnsi="Times New Roman" w:cs="Times New Roman"/>
          <w:b/>
          <w:bCs/>
        </w:rPr>
        <w:t xml:space="preserve"> to </w:t>
      </w:r>
      <w:r w:rsidR="00736C4E" w:rsidRPr="00736C4E">
        <w:rPr>
          <w:rFonts w:ascii="Times New Roman" w:hAnsi="Times New Roman" w:cs="Times New Roman"/>
          <w:b/>
          <w:bCs/>
        </w:rPr>
        <w:t>the Palestinian Territory</w:t>
      </w:r>
      <w:r w:rsidR="00E3414A" w:rsidRPr="00736C4E">
        <w:rPr>
          <w:rFonts w:ascii="Times New Roman" w:hAnsi="Times New Roman" w:cs="Times New Roman"/>
          <w:b/>
          <w:bCs/>
        </w:rPr>
        <w:t>,</w:t>
      </w:r>
      <w:r w:rsidRPr="00736C4E">
        <w:rPr>
          <w:rFonts w:ascii="Times New Roman" w:hAnsi="Times New Roman" w:cs="Times New Roman"/>
          <w:b/>
          <w:bCs/>
        </w:rPr>
        <w:t xml:space="preserve"> (2004-2011)</w:t>
      </w:r>
    </w:p>
    <w:p w:rsidR="00B4571F" w:rsidRPr="00FE6B5F" w:rsidRDefault="00B4571F" w:rsidP="00FE6B5F">
      <w:pPr>
        <w:spacing w:after="0"/>
        <w:jc w:val="center"/>
        <w:rPr>
          <w:rFonts w:ascii="Times New Roman" w:hAnsi="Times New Roman" w:cs="Times New Roman"/>
          <w:color w:val="333333"/>
          <w:sz w:val="24"/>
          <w:szCs w:val="24"/>
        </w:rPr>
      </w:pPr>
      <w:r w:rsidRPr="00BC3D9F">
        <w:rPr>
          <w:rFonts w:ascii="Times New Roman" w:hAnsi="Times New Roman" w:cs="Times New Roman"/>
          <w:noProof/>
          <w:color w:val="333333"/>
          <w:sz w:val="24"/>
          <w:szCs w:val="24"/>
          <w:rtl/>
        </w:rPr>
        <w:drawing>
          <wp:inline distT="0" distB="0" distL="0" distR="0">
            <wp:extent cx="4725478" cy="2247050"/>
            <wp:effectExtent l="19050" t="0" r="17972" b="850"/>
            <wp:docPr id="22"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20161" w:rsidRDefault="00020161" w:rsidP="00B4571F">
      <w:pPr>
        <w:spacing w:after="0"/>
        <w:jc w:val="both"/>
        <w:rPr>
          <w:rFonts w:ascii="Times New Roman" w:hAnsi="Times New Roman" w:cs="Times New Roman"/>
          <w:b/>
          <w:bCs/>
          <w:sz w:val="24"/>
          <w:szCs w:val="24"/>
        </w:rPr>
      </w:pPr>
    </w:p>
    <w:p w:rsidR="00020161" w:rsidRDefault="00020161" w:rsidP="00B4571F">
      <w:pPr>
        <w:spacing w:after="0"/>
        <w:jc w:val="both"/>
        <w:rPr>
          <w:rFonts w:ascii="Times New Roman" w:hAnsi="Times New Roman" w:cs="Times New Roman"/>
          <w:b/>
          <w:bCs/>
          <w:sz w:val="24"/>
          <w:szCs w:val="24"/>
        </w:rPr>
      </w:pPr>
    </w:p>
    <w:p w:rsidR="00020161" w:rsidRDefault="00020161" w:rsidP="00B4571F">
      <w:pPr>
        <w:spacing w:after="0"/>
        <w:jc w:val="both"/>
        <w:rPr>
          <w:rFonts w:ascii="Times New Roman" w:hAnsi="Times New Roman" w:cs="Times New Roman"/>
          <w:b/>
          <w:bCs/>
          <w:sz w:val="24"/>
          <w:szCs w:val="24"/>
        </w:rPr>
      </w:pPr>
    </w:p>
    <w:p w:rsidR="00020161" w:rsidRDefault="00020161" w:rsidP="00B4571F">
      <w:pPr>
        <w:spacing w:after="0"/>
        <w:jc w:val="both"/>
        <w:rPr>
          <w:rFonts w:ascii="Times New Roman" w:hAnsi="Times New Roman" w:cs="Times New Roman"/>
          <w:b/>
          <w:bCs/>
          <w:sz w:val="24"/>
          <w:szCs w:val="24"/>
        </w:rPr>
      </w:pPr>
    </w:p>
    <w:p w:rsidR="00020161" w:rsidRDefault="00020161" w:rsidP="00B4571F">
      <w:pPr>
        <w:spacing w:after="0"/>
        <w:jc w:val="both"/>
        <w:rPr>
          <w:rFonts w:ascii="Times New Roman" w:hAnsi="Times New Roman" w:cs="Times New Roman"/>
          <w:b/>
          <w:bCs/>
          <w:sz w:val="24"/>
          <w:szCs w:val="24"/>
        </w:rPr>
      </w:pPr>
    </w:p>
    <w:p w:rsidR="00020161" w:rsidRDefault="00020161" w:rsidP="00B4571F">
      <w:pPr>
        <w:spacing w:after="0"/>
        <w:jc w:val="both"/>
        <w:rPr>
          <w:rFonts w:ascii="Times New Roman" w:hAnsi="Times New Roman" w:cs="Times New Roman"/>
          <w:b/>
          <w:bCs/>
          <w:sz w:val="24"/>
          <w:szCs w:val="24"/>
        </w:rPr>
      </w:pPr>
    </w:p>
    <w:p w:rsidR="00020161" w:rsidRDefault="00020161" w:rsidP="00B4571F">
      <w:pPr>
        <w:spacing w:after="0"/>
        <w:jc w:val="both"/>
        <w:rPr>
          <w:rFonts w:ascii="Times New Roman" w:hAnsi="Times New Roman" w:cs="Times New Roman"/>
          <w:b/>
          <w:bCs/>
          <w:sz w:val="24"/>
          <w:szCs w:val="24"/>
        </w:rPr>
      </w:pPr>
    </w:p>
    <w:p w:rsidR="00020161" w:rsidRDefault="00020161" w:rsidP="00B4571F">
      <w:pPr>
        <w:spacing w:after="0"/>
        <w:jc w:val="both"/>
        <w:rPr>
          <w:rFonts w:ascii="Times New Roman" w:hAnsi="Times New Roman" w:cs="Times New Roman"/>
          <w:b/>
          <w:bCs/>
          <w:sz w:val="24"/>
          <w:szCs w:val="24"/>
        </w:rPr>
      </w:pPr>
    </w:p>
    <w:p w:rsidR="00020161" w:rsidRDefault="00020161" w:rsidP="00B4571F">
      <w:pPr>
        <w:spacing w:after="0"/>
        <w:jc w:val="both"/>
        <w:rPr>
          <w:rFonts w:ascii="Times New Roman" w:hAnsi="Times New Roman" w:cs="Times New Roman"/>
          <w:b/>
          <w:bCs/>
          <w:sz w:val="24"/>
          <w:szCs w:val="24"/>
        </w:rPr>
      </w:pPr>
    </w:p>
    <w:p w:rsidR="00B4571F" w:rsidRDefault="00B4571F" w:rsidP="00A15F2A">
      <w:pPr>
        <w:spacing w:after="0"/>
        <w:jc w:val="both"/>
        <w:rPr>
          <w:rFonts w:ascii="Times New Roman" w:hAnsi="Times New Roman" w:cs="Times New Roman"/>
          <w:color w:val="333333"/>
          <w:sz w:val="24"/>
          <w:szCs w:val="24"/>
        </w:rPr>
      </w:pPr>
      <w:r w:rsidRPr="00BC3D9F">
        <w:rPr>
          <w:rFonts w:ascii="Times New Roman" w:hAnsi="Times New Roman" w:cs="Times New Roman"/>
          <w:b/>
          <w:bCs/>
          <w:sz w:val="24"/>
          <w:szCs w:val="24"/>
        </w:rPr>
        <w:lastRenderedPageBreak/>
        <w:t xml:space="preserve">The tourism sector witnessed a decline during 2011 in terms of the number of hotel guests and overnight stays. The number of hotel guests in the Palestinian </w:t>
      </w:r>
      <w:r w:rsidR="002C7C30">
        <w:rPr>
          <w:rFonts w:ascii="Times New Roman" w:hAnsi="Times New Roman" w:cs="Times New Roman"/>
          <w:b/>
          <w:bCs/>
          <w:sz w:val="24"/>
          <w:szCs w:val="24"/>
        </w:rPr>
        <w:t>Territory</w:t>
      </w:r>
      <w:r w:rsidRPr="00BC3D9F">
        <w:rPr>
          <w:rFonts w:ascii="Times New Roman" w:hAnsi="Times New Roman" w:cs="Times New Roman"/>
          <w:b/>
          <w:bCs/>
          <w:sz w:val="24"/>
          <w:szCs w:val="24"/>
        </w:rPr>
        <w:t xml:space="preserve"> decreased by 11.6% in 2011 reaching 510 thousand guests compared with  577 thousand guests in 2010 accompanied by a decrease in the number of overnight stays during 2011 by 2.5%. </w:t>
      </w:r>
      <w:r w:rsidRPr="00BC3D9F">
        <w:rPr>
          <w:rFonts w:ascii="Times New Roman" w:hAnsi="Times New Roman" w:cs="Times New Roman"/>
          <w:sz w:val="24"/>
          <w:szCs w:val="24"/>
        </w:rPr>
        <w:t xml:space="preserve">The tourism sector is one of the most sensitive sectors which is usually affected by the political situation in the region. Despite the fact that the Palestinian </w:t>
      </w:r>
      <w:r w:rsidR="002C7C30">
        <w:rPr>
          <w:rFonts w:ascii="Times New Roman" w:hAnsi="Times New Roman" w:cs="Times New Roman"/>
          <w:sz w:val="24"/>
          <w:szCs w:val="24"/>
        </w:rPr>
        <w:t>Territory</w:t>
      </w:r>
      <w:r w:rsidRPr="00BC3D9F">
        <w:rPr>
          <w:rFonts w:ascii="Times New Roman" w:hAnsi="Times New Roman" w:cs="Times New Roman"/>
          <w:sz w:val="24"/>
          <w:szCs w:val="24"/>
        </w:rPr>
        <w:t xml:space="preserve"> has important status in terms of  its religious, historical and cultural heritage; however, it suffers from occupation, siege and instability which led to reducing the contribution of this sector in the Palestinian economy. The number of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the Palestinian hotels reached 2,251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2011 compared with 1,795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2010 which is a small percentage of the total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the Palestinian </w:t>
      </w:r>
      <w:r w:rsidR="002C7C30">
        <w:rPr>
          <w:rFonts w:ascii="Times New Roman" w:hAnsi="Times New Roman" w:cs="Times New Roman"/>
          <w:sz w:val="24"/>
          <w:szCs w:val="24"/>
        </w:rPr>
        <w:t>Territory</w:t>
      </w:r>
      <w:r w:rsidRPr="00BC3D9F">
        <w:rPr>
          <w:rFonts w:ascii="Times New Roman" w:hAnsi="Times New Roman" w:cs="Times New Roman"/>
          <w:sz w:val="24"/>
          <w:szCs w:val="24"/>
        </w:rPr>
        <w:t xml:space="preserve"> (837 thousand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terms of the geographical distribution, the number of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the hotels in West Bank in 2011 increased by 23.6% compared with 2010 reaching 2,091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while the number of hotel guests decreased by 12.0% (Table 11). In Gaza Strip, the number of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the hotels sector reached 160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2011 compared with 103 </w:t>
      </w:r>
      <w:r w:rsidR="00940DEB">
        <w:rPr>
          <w:rFonts w:ascii="Times New Roman" w:hAnsi="Times New Roman" w:cs="Times New Roman"/>
          <w:sz w:val="24"/>
          <w:szCs w:val="24"/>
        </w:rPr>
        <w:t>employees</w:t>
      </w:r>
      <w:r w:rsidRPr="00BC3D9F">
        <w:rPr>
          <w:rFonts w:ascii="Times New Roman" w:hAnsi="Times New Roman" w:cs="Times New Roman"/>
          <w:sz w:val="24"/>
          <w:szCs w:val="24"/>
        </w:rPr>
        <w:t xml:space="preserve"> in 2010 which is an increase by 55%; but the number of hotel guests increased by 200% during 2011, but remained very low.</w:t>
      </w:r>
    </w:p>
    <w:p w:rsidR="00B4571F" w:rsidRPr="00A71C76" w:rsidRDefault="00B4571F" w:rsidP="00F60570">
      <w:pPr>
        <w:spacing w:after="0"/>
        <w:jc w:val="center"/>
        <w:rPr>
          <w:rFonts w:ascii="Times New Roman" w:hAnsi="Times New Roman" w:cs="Times New Roman"/>
          <w:b/>
          <w:bCs/>
          <w:color w:val="333333"/>
        </w:rPr>
      </w:pPr>
      <w:r w:rsidRPr="00BC3D9F">
        <w:rPr>
          <w:rFonts w:ascii="Times New Roman" w:hAnsi="Times New Roman" w:cs="Times New Roman"/>
          <w:color w:val="333333"/>
          <w:sz w:val="24"/>
          <w:szCs w:val="24"/>
        </w:rPr>
        <w:br/>
      </w:r>
      <w:r w:rsidRPr="00BC3D9F">
        <w:rPr>
          <w:rFonts w:ascii="Times New Roman" w:hAnsi="Times New Roman" w:cs="Times New Roman"/>
          <w:color w:val="333333"/>
          <w:sz w:val="24"/>
          <w:szCs w:val="24"/>
        </w:rPr>
        <w:br/>
      </w:r>
      <w:r w:rsidRPr="00A71C76">
        <w:rPr>
          <w:rFonts w:ascii="Times New Roman" w:hAnsi="Times New Roman" w:cs="Times New Roman"/>
          <w:b/>
          <w:bCs/>
        </w:rPr>
        <w:t xml:space="preserve">Table 11: </w:t>
      </w:r>
      <w:r w:rsidR="00F60570">
        <w:rPr>
          <w:rFonts w:ascii="Times New Roman" w:hAnsi="Times New Roman" w:cs="Times New Roman"/>
          <w:b/>
          <w:bCs/>
        </w:rPr>
        <w:t>Selected</w:t>
      </w:r>
      <w:r w:rsidRPr="00A71C76">
        <w:rPr>
          <w:rFonts w:ascii="Times New Roman" w:hAnsi="Times New Roman" w:cs="Times New Roman"/>
          <w:b/>
          <w:bCs/>
        </w:rPr>
        <w:t xml:space="preserve"> indicators in the tourism sector by region, (2010-2011)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6"/>
        <w:gridCol w:w="1026"/>
        <w:gridCol w:w="1026"/>
        <w:gridCol w:w="1134"/>
        <w:gridCol w:w="709"/>
        <w:gridCol w:w="850"/>
        <w:gridCol w:w="1251"/>
      </w:tblGrid>
      <w:tr w:rsidR="00B4571F" w:rsidRPr="002E4421" w:rsidTr="00186D70">
        <w:trPr>
          <w:cantSplit/>
          <w:trHeight w:hRule="exact" w:val="284"/>
          <w:jc w:val="center"/>
        </w:trPr>
        <w:tc>
          <w:tcPr>
            <w:tcW w:w="2586" w:type="dxa"/>
            <w:vMerge w:val="restart"/>
            <w:tcBorders>
              <w:top w:val="single" w:sz="12" w:space="0" w:color="auto"/>
              <w:left w:val="nil"/>
              <w:bottom w:val="nil"/>
              <w:right w:val="nil"/>
            </w:tcBorders>
            <w:vAlign w:val="center"/>
          </w:tcPr>
          <w:p w:rsidR="00B4571F" w:rsidRPr="002E4421" w:rsidRDefault="00B4571F" w:rsidP="00186D70">
            <w:pPr>
              <w:pStyle w:val="BodyText3"/>
              <w:jc w:val="center"/>
              <w:rPr>
                <w:rFonts w:ascii="Arial" w:hAnsi="Arial" w:cs="Arial"/>
                <w:sz w:val="18"/>
                <w:szCs w:val="18"/>
              </w:rPr>
            </w:pPr>
          </w:p>
        </w:tc>
        <w:tc>
          <w:tcPr>
            <w:tcW w:w="3186" w:type="dxa"/>
            <w:gridSpan w:val="3"/>
            <w:tcBorders>
              <w:top w:val="single" w:sz="12" w:space="0" w:color="auto"/>
              <w:left w:val="nil"/>
              <w:bottom w:val="nil"/>
              <w:right w:val="nil"/>
            </w:tcBorders>
            <w:vAlign w:val="center"/>
          </w:tcPr>
          <w:p w:rsidR="00B4571F" w:rsidRPr="002E4421" w:rsidRDefault="00B4571F" w:rsidP="00186D70">
            <w:pPr>
              <w:pStyle w:val="BodyText3"/>
              <w:jc w:val="center"/>
              <w:rPr>
                <w:rFonts w:ascii="Arial" w:hAnsi="Arial" w:cs="Arial"/>
                <w:b/>
                <w:bCs/>
                <w:sz w:val="18"/>
                <w:szCs w:val="18"/>
              </w:rPr>
            </w:pPr>
            <w:r w:rsidRPr="002E4421">
              <w:rPr>
                <w:rFonts w:ascii="Arial" w:hAnsi="Arial" w:cs="Arial"/>
                <w:b/>
                <w:bCs/>
                <w:sz w:val="18"/>
                <w:szCs w:val="18"/>
              </w:rPr>
              <w:t>West Bank</w:t>
            </w:r>
          </w:p>
        </w:tc>
        <w:tc>
          <w:tcPr>
            <w:tcW w:w="2810" w:type="dxa"/>
            <w:gridSpan w:val="3"/>
            <w:tcBorders>
              <w:top w:val="single" w:sz="12" w:space="0" w:color="auto"/>
              <w:left w:val="nil"/>
              <w:bottom w:val="nil"/>
              <w:right w:val="nil"/>
            </w:tcBorders>
            <w:vAlign w:val="center"/>
          </w:tcPr>
          <w:p w:rsidR="00B4571F" w:rsidRPr="002E4421" w:rsidRDefault="00B4571F" w:rsidP="00186D70">
            <w:pPr>
              <w:pStyle w:val="BodyText3"/>
              <w:jc w:val="left"/>
              <w:rPr>
                <w:rFonts w:ascii="Arial" w:hAnsi="Arial" w:cs="Arial"/>
                <w:b/>
                <w:bCs/>
                <w:sz w:val="18"/>
                <w:szCs w:val="18"/>
              </w:rPr>
            </w:pPr>
            <w:r w:rsidRPr="002E4421">
              <w:rPr>
                <w:rFonts w:ascii="Arial" w:hAnsi="Arial" w:cs="Arial"/>
                <w:b/>
                <w:bCs/>
                <w:sz w:val="18"/>
                <w:szCs w:val="18"/>
              </w:rPr>
              <w:t xml:space="preserve">                Gaza Strip</w:t>
            </w:r>
          </w:p>
        </w:tc>
      </w:tr>
      <w:tr w:rsidR="00B4571F" w:rsidRPr="002E4421" w:rsidTr="00186D70">
        <w:trPr>
          <w:cantSplit/>
          <w:trHeight w:hRule="exact" w:val="284"/>
          <w:jc w:val="center"/>
        </w:trPr>
        <w:tc>
          <w:tcPr>
            <w:tcW w:w="2586" w:type="dxa"/>
            <w:vMerge/>
            <w:tcBorders>
              <w:top w:val="nil"/>
              <w:left w:val="nil"/>
              <w:bottom w:val="single" w:sz="12" w:space="0" w:color="auto"/>
              <w:right w:val="nil"/>
            </w:tcBorders>
            <w:vAlign w:val="center"/>
          </w:tcPr>
          <w:p w:rsidR="00B4571F" w:rsidRPr="002E4421" w:rsidRDefault="00B4571F" w:rsidP="00186D70">
            <w:pPr>
              <w:pStyle w:val="BodyText3"/>
              <w:jc w:val="center"/>
              <w:rPr>
                <w:rFonts w:ascii="Arial" w:hAnsi="Arial" w:cs="Arial"/>
                <w:sz w:val="18"/>
                <w:szCs w:val="18"/>
              </w:rPr>
            </w:pPr>
          </w:p>
        </w:tc>
        <w:tc>
          <w:tcPr>
            <w:tcW w:w="1026" w:type="dxa"/>
            <w:tcBorders>
              <w:top w:val="nil"/>
              <w:left w:val="nil"/>
              <w:bottom w:val="single" w:sz="12" w:space="0" w:color="auto"/>
              <w:right w:val="nil"/>
            </w:tcBorders>
            <w:vAlign w:val="center"/>
          </w:tcPr>
          <w:p w:rsidR="00B4571F" w:rsidRPr="002E4421" w:rsidRDefault="00B4571F" w:rsidP="00186D70">
            <w:pPr>
              <w:rPr>
                <w:rFonts w:ascii="Arial" w:hAnsi="Arial"/>
                <w:b/>
                <w:bCs/>
                <w:sz w:val="18"/>
                <w:szCs w:val="18"/>
              </w:rPr>
            </w:pPr>
            <w:r w:rsidRPr="002E4421">
              <w:rPr>
                <w:rFonts w:ascii="Arial" w:hAnsi="Arial"/>
                <w:b/>
                <w:bCs/>
                <w:sz w:val="18"/>
                <w:szCs w:val="18"/>
              </w:rPr>
              <w:t>2010</w:t>
            </w:r>
          </w:p>
        </w:tc>
        <w:tc>
          <w:tcPr>
            <w:tcW w:w="1026" w:type="dxa"/>
            <w:tcBorders>
              <w:top w:val="nil"/>
              <w:left w:val="nil"/>
              <w:bottom w:val="single" w:sz="12" w:space="0" w:color="auto"/>
              <w:right w:val="nil"/>
            </w:tcBorders>
            <w:vAlign w:val="center"/>
          </w:tcPr>
          <w:p w:rsidR="00B4571F" w:rsidRPr="002E4421" w:rsidRDefault="00B4571F" w:rsidP="00186D70">
            <w:pPr>
              <w:rPr>
                <w:rFonts w:ascii="Arial" w:hAnsi="Arial"/>
                <w:b/>
                <w:bCs/>
                <w:sz w:val="18"/>
                <w:szCs w:val="18"/>
              </w:rPr>
            </w:pPr>
            <w:r w:rsidRPr="002E4421">
              <w:rPr>
                <w:rFonts w:ascii="Arial" w:hAnsi="Arial"/>
                <w:b/>
                <w:bCs/>
                <w:sz w:val="18"/>
                <w:szCs w:val="18"/>
              </w:rPr>
              <w:t>2011</w:t>
            </w:r>
          </w:p>
        </w:tc>
        <w:tc>
          <w:tcPr>
            <w:tcW w:w="1134" w:type="dxa"/>
            <w:tcBorders>
              <w:top w:val="nil"/>
              <w:left w:val="nil"/>
              <w:bottom w:val="single" w:sz="12" w:space="0" w:color="auto"/>
              <w:right w:val="nil"/>
            </w:tcBorders>
            <w:vAlign w:val="center"/>
          </w:tcPr>
          <w:p w:rsidR="00B4571F" w:rsidRPr="002E4421" w:rsidRDefault="00B4571F" w:rsidP="00186D70">
            <w:pPr>
              <w:pStyle w:val="BodyText3"/>
              <w:jc w:val="center"/>
              <w:rPr>
                <w:rFonts w:ascii="Arial" w:hAnsi="Arial" w:cs="Arial"/>
                <w:b/>
                <w:bCs/>
                <w:sz w:val="18"/>
                <w:szCs w:val="18"/>
              </w:rPr>
            </w:pPr>
            <w:r w:rsidRPr="002E4421">
              <w:rPr>
                <w:rFonts w:ascii="Arial" w:hAnsi="Arial" w:cs="Arial"/>
                <w:b/>
                <w:bCs/>
                <w:sz w:val="18"/>
                <w:szCs w:val="18"/>
              </w:rPr>
              <w:t>% Change</w:t>
            </w:r>
          </w:p>
        </w:tc>
        <w:tc>
          <w:tcPr>
            <w:tcW w:w="709" w:type="dxa"/>
            <w:tcBorders>
              <w:top w:val="nil"/>
              <w:left w:val="nil"/>
              <w:bottom w:val="single" w:sz="12" w:space="0" w:color="auto"/>
              <w:right w:val="nil"/>
            </w:tcBorders>
            <w:vAlign w:val="center"/>
          </w:tcPr>
          <w:p w:rsidR="00B4571F" w:rsidRPr="002E4421" w:rsidRDefault="00B4571F" w:rsidP="00186D70">
            <w:pPr>
              <w:rPr>
                <w:rFonts w:ascii="Arial" w:hAnsi="Arial"/>
                <w:b/>
                <w:bCs/>
                <w:sz w:val="18"/>
                <w:szCs w:val="18"/>
              </w:rPr>
            </w:pPr>
            <w:r w:rsidRPr="002E4421">
              <w:rPr>
                <w:rFonts w:ascii="Arial" w:hAnsi="Arial"/>
                <w:b/>
                <w:bCs/>
                <w:sz w:val="18"/>
                <w:szCs w:val="18"/>
              </w:rPr>
              <w:t>2010</w:t>
            </w:r>
          </w:p>
        </w:tc>
        <w:tc>
          <w:tcPr>
            <w:tcW w:w="850" w:type="dxa"/>
            <w:tcBorders>
              <w:top w:val="nil"/>
              <w:left w:val="nil"/>
              <w:bottom w:val="single" w:sz="12" w:space="0" w:color="auto"/>
              <w:right w:val="nil"/>
            </w:tcBorders>
            <w:vAlign w:val="center"/>
          </w:tcPr>
          <w:p w:rsidR="00B4571F" w:rsidRPr="002E4421" w:rsidRDefault="00B4571F" w:rsidP="00186D70">
            <w:pPr>
              <w:rPr>
                <w:rFonts w:ascii="Arial" w:hAnsi="Arial"/>
                <w:b/>
                <w:bCs/>
                <w:sz w:val="18"/>
                <w:szCs w:val="18"/>
              </w:rPr>
            </w:pPr>
            <w:r w:rsidRPr="002E4421">
              <w:rPr>
                <w:rFonts w:ascii="Arial" w:hAnsi="Arial"/>
                <w:b/>
                <w:bCs/>
                <w:sz w:val="18"/>
                <w:szCs w:val="18"/>
              </w:rPr>
              <w:t>2011</w:t>
            </w:r>
          </w:p>
        </w:tc>
        <w:tc>
          <w:tcPr>
            <w:tcW w:w="1251" w:type="dxa"/>
            <w:tcBorders>
              <w:top w:val="nil"/>
              <w:left w:val="nil"/>
              <w:bottom w:val="single" w:sz="12" w:space="0" w:color="auto"/>
              <w:right w:val="nil"/>
            </w:tcBorders>
            <w:vAlign w:val="center"/>
          </w:tcPr>
          <w:p w:rsidR="00B4571F" w:rsidRPr="002E4421" w:rsidRDefault="00B4571F" w:rsidP="00186D70">
            <w:pPr>
              <w:pStyle w:val="BodyText3"/>
              <w:jc w:val="center"/>
              <w:rPr>
                <w:rFonts w:ascii="Arial" w:hAnsi="Arial" w:cs="Arial"/>
                <w:b/>
                <w:bCs/>
                <w:sz w:val="18"/>
                <w:szCs w:val="18"/>
              </w:rPr>
            </w:pPr>
            <w:r w:rsidRPr="002E4421">
              <w:rPr>
                <w:rFonts w:ascii="Arial" w:hAnsi="Arial" w:cs="Arial"/>
                <w:b/>
                <w:bCs/>
                <w:sz w:val="18"/>
                <w:szCs w:val="18"/>
              </w:rPr>
              <w:t>% Change</w:t>
            </w:r>
          </w:p>
        </w:tc>
      </w:tr>
      <w:tr w:rsidR="00B4571F" w:rsidRPr="002E4421" w:rsidTr="00DE3BB6">
        <w:trPr>
          <w:trHeight w:hRule="exact" w:val="284"/>
          <w:jc w:val="center"/>
        </w:trPr>
        <w:tc>
          <w:tcPr>
            <w:tcW w:w="2586" w:type="dxa"/>
            <w:tcBorders>
              <w:top w:val="single" w:sz="12" w:space="0" w:color="auto"/>
              <w:left w:val="nil"/>
              <w:bottom w:val="nil"/>
              <w:right w:val="nil"/>
            </w:tcBorders>
            <w:vAlign w:val="center"/>
          </w:tcPr>
          <w:p w:rsidR="00B4571F" w:rsidRPr="002E4421" w:rsidRDefault="00B4571F" w:rsidP="00DE3BB6">
            <w:pPr>
              <w:pStyle w:val="BodyText3"/>
              <w:jc w:val="left"/>
              <w:rPr>
                <w:rFonts w:ascii="Arial" w:hAnsi="Arial" w:cs="Arial"/>
                <w:sz w:val="18"/>
                <w:szCs w:val="18"/>
              </w:rPr>
            </w:pPr>
            <w:r w:rsidRPr="002E4421">
              <w:rPr>
                <w:rFonts w:ascii="Arial" w:hAnsi="Arial" w:cs="Arial"/>
                <w:sz w:val="18"/>
                <w:szCs w:val="18"/>
              </w:rPr>
              <w:t>Hotels</w:t>
            </w:r>
          </w:p>
        </w:tc>
        <w:tc>
          <w:tcPr>
            <w:tcW w:w="1026" w:type="dxa"/>
            <w:tcBorders>
              <w:top w:val="single" w:sz="12" w:space="0" w:color="auto"/>
              <w:left w:val="nil"/>
              <w:bottom w:val="nil"/>
              <w:right w:val="nil"/>
            </w:tcBorders>
            <w:vAlign w:val="center"/>
          </w:tcPr>
          <w:p w:rsidR="00B4571F" w:rsidRPr="002E4421" w:rsidRDefault="00B4571F" w:rsidP="00DE3BB6">
            <w:pPr>
              <w:jc w:val="center"/>
              <w:rPr>
                <w:rFonts w:ascii="Arial" w:hAnsi="Arial"/>
                <w:sz w:val="18"/>
                <w:szCs w:val="18"/>
                <w:rtl/>
              </w:rPr>
            </w:pPr>
            <w:r w:rsidRPr="002E4421">
              <w:rPr>
                <w:rFonts w:ascii="Arial" w:hAnsi="Arial"/>
                <w:sz w:val="18"/>
                <w:szCs w:val="18"/>
                <w:rtl/>
              </w:rPr>
              <w:t>87</w:t>
            </w:r>
          </w:p>
        </w:tc>
        <w:tc>
          <w:tcPr>
            <w:tcW w:w="1026" w:type="dxa"/>
            <w:tcBorders>
              <w:top w:val="single" w:sz="12" w:space="0" w:color="auto"/>
              <w:left w:val="nil"/>
              <w:bottom w:val="nil"/>
              <w:right w:val="nil"/>
            </w:tcBorders>
            <w:vAlign w:val="center"/>
          </w:tcPr>
          <w:p w:rsidR="00B4571F" w:rsidRPr="002E4421" w:rsidRDefault="00B4571F" w:rsidP="00DE3BB6">
            <w:pPr>
              <w:jc w:val="center"/>
              <w:rPr>
                <w:rFonts w:ascii="Arial" w:hAnsi="Arial"/>
                <w:sz w:val="18"/>
                <w:szCs w:val="18"/>
                <w:rtl/>
              </w:rPr>
            </w:pPr>
            <w:r w:rsidRPr="002E4421">
              <w:rPr>
                <w:rFonts w:ascii="Arial" w:hAnsi="Arial"/>
                <w:sz w:val="18"/>
                <w:szCs w:val="18"/>
                <w:rtl/>
              </w:rPr>
              <w:t>91</w:t>
            </w:r>
          </w:p>
        </w:tc>
        <w:tc>
          <w:tcPr>
            <w:tcW w:w="1134" w:type="dxa"/>
            <w:tcBorders>
              <w:top w:val="single" w:sz="12" w:space="0" w:color="auto"/>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Pr>
              <w:t>4.6</w:t>
            </w:r>
          </w:p>
        </w:tc>
        <w:tc>
          <w:tcPr>
            <w:tcW w:w="709" w:type="dxa"/>
            <w:tcBorders>
              <w:top w:val="single" w:sz="12" w:space="0" w:color="auto"/>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8</w:t>
            </w:r>
          </w:p>
        </w:tc>
        <w:tc>
          <w:tcPr>
            <w:tcW w:w="850" w:type="dxa"/>
            <w:tcBorders>
              <w:top w:val="single" w:sz="12" w:space="0" w:color="auto"/>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12</w:t>
            </w:r>
          </w:p>
        </w:tc>
        <w:tc>
          <w:tcPr>
            <w:tcW w:w="1251" w:type="dxa"/>
            <w:tcBorders>
              <w:top w:val="single" w:sz="12" w:space="0" w:color="auto"/>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Pr>
              <w:t>50.0</w:t>
            </w:r>
          </w:p>
        </w:tc>
      </w:tr>
      <w:tr w:rsidR="00B4571F" w:rsidRPr="002E4421" w:rsidTr="00DE3BB6">
        <w:trPr>
          <w:trHeight w:hRule="exact" w:val="284"/>
          <w:jc w:val="center"/>
        </w:trPr>
        <w:tc>
          <w:tcPr>
            <w:tcW w:w="2586" w:type="dxa"/>
            <w:tcBorders>
              <w:top w:val="nil"/>
              <w:left w:val="nil"/>
              <w:bottom w:val="nil"/>
              <w:right w:val="nil"/>
            </w:tcBorders>
            <w:vAlign w:val="center"/>
          </w:tcPr>
          <w:p w:rsidR="00B4571F" w:rsidRPr="002E4421" w:rsidRDefault="00B4571F" w:rsidP="00DE3BB6">
            <w:pPr>
              <w:pStyle w:val="BodyText3"/>
              <w:jc w:val="left"/>
              <w:rPr>
                <w:rFonts w:ascii="Arial" w:hAnsi="Arial" w:cs="Arial"/>
                <w:sz w:val="18"/>
                <w:szCs w:val="18"/>
              </w:rPr>
            </w:pPr>
            <w:r w:rsidRPr="002E4421">
              <w:rPr>
                <w:rFonts w:ascii="Arial" w:hAnsi="Arial" w:cs="Arial"/>
                <w:sz w:val="18"/>
                <w:szCs w:val="18"/>
              </w:rPr>
              <w:t>Guests</w:t>
            </w:r>
            <w:r w:rsidR="00DF3A9F">
              <w:rPr>
                <w:rFonts w:ascii="Arial" w:hAnsi="Arial" w:cs="Arial"/>
                <w:sz w:val="18"/>
                <w:szCs w:val="18"/>
              </w:rPr>
              <w:t xml:space="preserve"> (thousand)</w:t>
            </w:r>
          </w:p>
        </w:tc>
        <w:tc>
          <w:tcPr>
            <w:tcW w:w="1026"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Pr>
              <w:t>576</w:t>
            </w:r>
          </w:p>
        </w:tc>
        <w:tc>
          <w:tcPr>
            <w:tcW w:w="1026"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Pr>
              <w:t>507</w:t>
            </w:r>
          </w:p>
        </w:tc>
        <w:tc>
          <w:tcPr>
            <w:tcW w:w="1134"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-12.0</w:t>
            </w:r>
          </w:p>
        </w:tc>
        <w:tc>
          <w:tcPr>
            <w:tcW w:w="709"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1</w:t>
            </w:r>
          </w:p>
        </w:tc>
        <w:tc>
          <w:tcPr>
            <w:tcW w:w="850"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3</w:t>
            </w:r>
          </w:p>
        </w:tc>
        <w:tc>
          <w:tcPr>
            <w:tcW w:w="1251"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200.0</w:t>
            </w:r>
          </w:p>
        </w:tc>
      </w:tr>
      <w:tr w:rsidR="00B4571F" w:rsidRPr="002E4421" w:rsidTr="00DE3BB6">
        <w:trPr>
          <w:trHeight w:hRule="exact" w:val="284"/>
          <w:jc w:val="center"/>
        </w:trPr>
        <w:tc>
          <w:tcPr>
            <w:tcW w:w="2586" w:type="dxa"/>
            <w:tcBorders>
              <w:top w:val="nil"/>
              <w:left w:val="nil"/>
              <w:bottom w:val="nil"/>
              <w:right w:val="nil"/>
            </w:tcBorders>
            <w:vAlign w:val="center"/>
          </w:tcPr>
          <w:p w:rsidR="00B4571F" w:rsidRPr="002E4421" w:rsidRDefault="00B4571F" w:rsidP="00DE3BB6">
            <w:pPr>
              <w:pStyle w:val="BodyText3"/>
              <w:jc w:val="left"/>
              <w:rPr>
                <w:rFonts w:ascii="Arial" w:hAnsi="Arial" w:cs="Arial"/>
                <w:sz w:val="18"/>
                <w:szCs w:val="18"/>
              </w:rPr>
            </w:pPr>
            <w:r w:rsidRPr="002E4421">
              <w:rPr>
                <w:rFonts w:ascii="Arial" w:hAnsi="Arial" w:cs="Arial"/>
                <w:sz w:val="18"/>
                <w:szCs w:val="18"/>
              </w:rPr>
              <w:t>Guest nights</w:t>
            </w:r>
            <w:r w:rsidR="00DF3A9F">
              <w:rPr>
                <w:rFonts w:ascii="Arial" w:hAnsi="Arial" w:cs="Arial"/>
                <w:sz w:val="18"/>
                <w:szCs w:val="18"/>
              </w:rPr>
              <w:t xml:space="preserve"> (thousand)</w:t>
            </w:r>
          </w:p>
        </w:tc>
        <w:tc>
          <w:tcPr>
            <w:tcW w:w="1026"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Pr>
              <w:t>1,284</w:t>
            </w:r>
          </w:p>
        </w:tc>
        <w:tc>
          <w:tcPr>
            <w:tcW w:w="1026"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Pr>
              <w:t>1,245</w:t>
            </w:r>
          </w:p>
        </w:tc>
        <w:tc>
          <w:tcPr>
            <w:tcW w:w="1134"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-3.0</w:t>
            </w:r>
          </w:p>
        </w:tc>
        <w:tc>
          <w:tcPr>
            <w:tcW w:w="709"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2</w:t>
            </w:r>
          </w:p>
        </w:tc>
        <w:tc>
          <w:tcPr>
            <w:tcW w:w="850"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9</w:t>
            </w:r>
          </w:p>
        </w:tc>
        <w:tc>
          <w:tcPr>
            <w:tcW w:w="1251" w:type="dxa"/>
            <w:tcBorders>
              <w:top w:val="nil"/>
              <w:left w:val="nil"/>
              <w:bottom w:val="nil"/>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350.0</w:t>
            </w:r>
          </w:p>
        </w:tc>
      </w:tr>
      <w:tr w:rsidR="00B4571F" w:rsidRPr="002E4421" w:rsidTr="00DE3BB6">
        <w:trPr>
          <w:trHeight w:hRule="exact" w:val="284"/>
          <w:jc w:val="center"/>
        </w:trPr>
        <w:tc>
          <w:tcPr>
            <w:tcW w:w="2586" w:type="dxa"/>
            <w:tcBorders>
              <w:top w:val="nil"/>
              <w:left w:val="nil"/>
              <w:bottom w:val="single" w:sz="12" w:space="0" w:color="auto"/>
              <w:right w:val="nil"/>
            </w:tcBorders>
            <w:vAlign w:val="center"/>
          </w:tcPr>
          <w:p w:rsidR="00B4571F" w:rsidRPr="002E4421" w:rsidRDefault="00B4571F" w:rsidP="00DE3BB6">
            <w:pPr>
              <w:pStyle w:val="BodyText3"/>
              <w:jc w:val="left"/>
              <w:rPr>
                <w:rFonts w:ascii="Arial" w:hAnsi="Arial" w:cs="Arial"/>
                <w:sz w:val="18"/>
                <w:szCs w:val="18"/>
              </w:rPr>
            </w:pPr>
            <w:r w:rsidRPr="002E4421">
              <w:rPr>
                <w:rFonts w:ascii="Arial" w:hAnsi="Arial" w:cs="Arial"/>
                <w:sz w:val="18"/>
                <w:szCs w:val="18"/>
              </w:rPr>
              <w:t>Workers</w:t>
            </w:r>
          </w:p>
        </w:tc>
        <w:tc>
          <w:tcPr>
            <w:tcW w:w="1026" w:type="dxa"/>
            <w:tcBorders>
              <w:top w:val="nil"/>
              <w:left w:val="nil"/>
              <w:bottom w:val="single" w:sz="12" w:space="0" w:color="auto"/>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1,692</w:t>
            </w:r>
          </w:p>
        </w:tc>
        <w:tc>
          <w:tcPr>
            <w:tcW w:w="1026" w:type="dxa"/>
            <w:tcBorders>
              <w:top w:val="nil"/>
              <w:left w:val="nil"/>
              <w:bottom w:val="single" w:sz="12" w:space="0" w:color="auto"/>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2,091</w:t>
            </w:r>
          </w:p>
        </w:tc>
        <w:tc>
          <w:tcPr>
            <w:tcW w:w="1134" w:type="dxa"/>
            <w:tcBorders>
              <w:top w:val="nil"/>
              <w:left w:val="nil"/>
              <w:bottom w:val="single" w:sz="12" w:space="0" w:color="auto"/>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23.6</w:t>
            </w:r>
          </w:p>
        </w:tc>
        <w:tc>
          <w:tcPr>
            <w:tcW w:w="709" w:type="dxa"/>
            <w:tcBorders>
              <w:top w:val="nil"/>
              <w:left w:val="nil"/>
              <w:bottom w:val="single" w:sz="12" w:space="0" w:color="auto"/>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103</w:t>
            </w:r>
          </w:p>
        </w:tc>
        <w:tc>
          <w:tcPr>
            <w:tcW w:w="850" w:type="dxa"/>
            <w:tcBorders>
              <w:top w:val="nil"/>
              <w:left w:val="nil"/>
              <w:bottom w:val="single" w:sz="12" w:space="0" w:color="auto"/>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160</w:t>
            </w:r>
          </w:p>
        </w:tc>
        <w:tc>
          <w:tcPr>
            <w:tcW w:w="1251" w:type="dxa"/>
            <w:tcBorders>
              <w:top w:val="nil"/>
              <w:left w:val="nil"/>
              <w:bottom w:val="single" w:sz="12" w:space="0" w:color="auto"/>
              <w:right w:val="nil"/>
            </w:tcBorders>
            <w:vAlign w:val="center"/>
          </w:tcPr>
          <w:p w:rsidR="00B4571F" w:rsidRPr="002E4421" w:rsidRDefault="00B4571F" w:rsidP="00DE3BB6">
            <w:pPr>
              <w:jc w:val="center"/>
              <w:rPr>
                <w:rFonts w:ascii="Arial" w:hAnsi="Arial"/>
                <w:sz w:val="18"/>
                <w:szCs w:val="18"/>
              </w:rPr>
            </w:pPr>
            <w:r w:rsidRPr="002E4421">
              <w:rPr>
                <w:rFonts w:ascii="Arial" w:hAnsi="Arial"/>
                <w:sz w:val="18"/>
                <w:szCs w:val="18"/>
                <w:rtl/>
              </w:rPr>
              <w:t>55.3</w:t>
            </w:r>
          </w:p>
        </w:tc>
      </w:tr>
    </w:tbl>
    <w:p w:rsidR="00B4571F" w:rsidRDefault="00B4571F" w:rsidP="00B4571F">
      <w:pPr>
        <w:spacing w:after="0"/>
        <w:jc w:val="both"/>
        <w:rPr>
          <w:rFonts w:ascii="Times New Roman" w:hAnsi="Times New Roman" w:cs="Times New Roman"/>
          <w:b/>
          <w:bCs/>
          <w:sz w:val="24"/>
          <w:szCs w:val="24"/>
        </w:rPr>
      </w:pPr>
    </w:p>
    <w:p w:rsidR="00B4571F" w:rsidRDefault="00B4571F" w:rsidP="00B4571F">
      <w:pPr>
        <w:spacing w:after="0"/>
        <w:jc w:val="both"/>
        <w:rPr>
          <w:rFonts w:ascii="Times New Roman" w:hAnsi="Times New Roman" w:cs="Times New Roman"/>
          <w:b/>
          <w:bCs/>
          <w:sz w:val="24"/>
          <w:szCs w:val="24"/>
        </w:rPr>
      </w:pPr>
    </w:p>
    <w:p w:rsidR="00B4571F" w:rsidRDefault="00B4571F" w:rsidP="00B4571F">
      <w:pPr>
        <w:spacing w:after="0"/>
        <w:jc w:val="both"/>
        <w:rPr>
          <w:rFonts w:ascii="Times New Roman" w:hAnsi="Times New Roman" w:cs="Times New Roman"/>
          <w:b/>
          <w:bCs/>
          <w:sz w:val="24"/>
          <w:szCs w:val="24"/>
        </w:rPr>
      </w:pPr>
    </w:p>
    <w:p w:rsidR="00B4571F" w:rsidRDefault="00B4571F" w:rsidP="00B4571F">
      <w:pPr>
        <w:spacing w:after="0"/>
        <w:jc w:val="both"/>
        <w:rPr>
          <w:rFonts w:ascii="Times New Roman" w:hAnsi="Times New Roman" w:cs="Times New Roman"/>
          <w:b/>
          <w:bCs/>
          <w:sz w:val="24"/>
          <w:szCs w:val="24"/>
        </w:rPr>
      </w:pPr>
    </w:p>
    <w:p w:rsidR="00B4571F" w:rsidRDefault="00B4571F" w:rsidP="00B4571F">
      <w:pPr>
        <w:spacing w:after="0"/>
        <w:jc w:val="both"/>
        <w:rPr>
          <w:rFonts w:ascii="Times New Roman" w:hAnsi="Times New Roman" w:cs="Times New Roman"/>
          <w:b/>
          <w:bCs/>
          <w:sz w:val="24"/>
          <w:szCs w:val="24"/>
        </w:rPr>
      </w:pPr>
    </w:p>
    <w:p w:rsidR="00B4571F" w:rsidRDefault="00B4571F" w:rsidP="00B4571F">
      <w:pPr>
        <w:spacing w:after="0"/>
        <w:jc w:val="both"/>
        <w:rPr>
          <w:rFonts w:ascii="Times New Roman" w:hAnsi="Times New Roman" w:cs="Times New Roman"/>
          <w:b/>
          <w:bCs/>
          <w:sz w:val="24"/>
          <w:szCs w:val="24"/>
        </w:rPr>
      </w:pPr>
    </w:p>
    <w:p w:rsidR="00B4571F" w:rsidRDefault="00B4571F" w:rsidP="00B4571F">
      <w:pPr>
        <w:spacing w:after="0"/>
        <w:jc w:val="both"/>
        <w:rPr>
          <w:rFonts w:ascii="Times New Roman" w:hAnsi="Times New Roman" w:cs="Times New Roman"/>
          <w:b/>
          <w:bCs/>
          <w:sz w:val="24"/>
          <w:szCs w:val="24"/>
        </w:rPr>
      </w:pPr>
    </w:p>
    <w:p w:rsidR="00B4571F" w:rsidRDefault="00B4571F" w:rsidP="00B4571F">
      <w:pPr>
        <w:spacing w:after="0"/>
        <w:jc w:val="both"/>
        <w:rPr>
          <w:rFonts w:ascii="Times New Roman" w:hAnsi="Times New Roman" w:cs="Times New Roman"/>
          <w:b/>
          <w:bCs/>
          <w:sz w:val="24"/>
          <w:szCs w:val="24"/>
        </w:rPr>
      </w:pPr>
    </w:p>
    <w:p w:rsidR="00B4571F" w:rsidRDefault="00B4571F" w:rsidP="00B4571F">
      <w:pPr>
        <w:spacing w:after="0"/>
        <w:jc w:val="both"/>
        <w:rPr>
          <w:rFonts w:ascii="Times New Roman" w:hAnsi="Times New Roman" w:cs="Times New Roman"/>
          <w:b/>
          <w:bCs/>
          <w:sz w:val="24"/>
          <w:szCs w:val="24"/>
        </w:rPr>
      </w:pPr>
    </w:p>
    <w:p w:rsidR="00B4571F" w:rsidRDefault="00B4571F" w:rsidP="00B4571F">
      <w:pPr>
        <w:spacing w:after="0"/>
        <w:jc w:val="both"/>
        <w:rPr>
          <w:rFonts w:ascii="Times New Roman" w:hAnsi="Times New Roman" w:cs="Times New Roman"/>
          <w:b/>
          <w:bCs/>
          <w:sz w:val="24"/>
          <w:szCs w:val="24"/>
        </w:rPr>
      </w:pPr>
    </w:p>
    <w:p w:rsidR="00B87732" w:rsidRPr="00210024" w:rsidRDefault="00B87732" w:rsidP="007A7FF4">
      <w:pPr>
        <w:spacing w:after="0" w:line="360" w:lineRule="auto"/>
        <w:jc w:val="both"/>
        <w:rPr>
          <w:rFonts w:ascii="Times New Roman" w:hAnsi="Times New Roman" w:cs="Times New Roman"/>
          <w:sz w:val="24"/>
          <w:szCs w:val="24"/>
        </w:rPr>
      </w:pPr>
    </w:p>
    <w:p w:rsidR="008A3152" w:rsidRPr="00210024" w:rsidRDefault="008A3152" w:rsidP="007A7FF4">
      <w:pPr>
        <w:spacing w:after="0" w:line="360" w:lineRule="auto"/>
        <w:jc w:val="both"/>
        <w:rPr>
          <w:rFonts w:ascii="Times New Roman" w:hAnsi="Times New Roman" w:cs="Times New Roman"/>
          <w:sz w:val="24"/>
          <w:szCs w:val="24"/>
        </w:rPr>
      </w:pPr>
      <w:r w:rsidRPr="00210024">
        <w:rPr>
          <w:rFonts w:ascii="Times New Roman" w:hAnsi="Times New Roman" w:cs="Times New Roman"/>
          <w:sz w:val="24"/>
          <w:szCs w:val="24"/>
        </w:rPr>
        <w:t xml:space="preserve"> </w:t>
      </w:r>
    </w:p>
    <w:tbl>
      <w:tblPr>
        <w:tblStyle w:val="TableGrid"/>
        <w:tblW w:w="10750" w:type="dxa"/>
        <w:tblInd w:w="-13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1"/>
        <w:gridCol w:w="5649"/>
      </w:tblGrid>
      <w:tr w:rsidR="007A7FF4" w:rsidRPr="00210024" w:rsidTr="007A7FF4">
        <w:tc>
          <w:tcPr>
            <w:tcW w:w="5101" w:type="dxa"/>
          </w:tcPr>
          <w:p w:rsidR="007A7FF4" w:rsidRPr="00210024" w:rsidRDefault="007A7FF4" w:rsidP="007A7FF4">
            <w:pPr>
              <w:ind w:left="-130"/>
              <w:jc w:val="both"/>
              <w:rPr>
                <w:rFonts w:ascii="Times New Roman" w:hAnsi="Times New Roman" w:cs="Times New Roman"/>
                <w:sz w:val="24"/>
                <w:szCs w:val="24"/>
              </w:rPr>
            </w:pPr>
          </w:p>
        </w:tc>
        <w:tc>
          <w:tcPr>
            <w:tcW w:w="5649" w:type="dxa"/>
          </w:tcPr>
          <w:p w:rsidR="007A7FF4" w:rsidRPr="00210024" w:rsidRDefault="007A7FF4" w:rsidP="007A7FF4">
            <w:pPr>
              <w:jc w:val="both"/>
              <w:rPr>
                <w:rFonts w:ascii="Times New Roman" w:hAnsi="Times New Roman" w:cs="Times New Roman"/>
                <w:sz w:val="24"/>
                <w:szCs w:val="24"/>
              </w:rPr>
            </w:pPr>
          </w:p>
        </w:tc>
      </w:tr>
    </w:tbl>
    <w:p w:rsidR="008A3152" w:rsidRPr="00210024" w:rsidRDefault="008A3152" w:rsidP="007A7FF4">
      <w:pPr>
        <w:spacing w:after="0"/>
        <w:jc w:val="both"/>
        <w:rPr>
          <w:rFonts w:ascii="Times New Roman" w:hAnsi="Times New Roman" w:cs="Times New Roman"/>
          <w:sz w:val="24"/>
          <w:szCs w:val="24"/>
        </w:rPr>
      </w:pPr>
    </w:p>
    <w:p w:rsidR="00B401D5" w:rsidRDefault="00B401D5" w:rsidP="00F1560C">
      <w:pPr>
        <w:jc w:val="center"/>
        <w:rPr>
          <w:rFonts w:ascii="Times New Roman" w:hAnsi="Times New Roman" w:cs="Times New Roman"/>
          <w:sz w:val="24"/>
          <w:szCs w:val="24"/>
        </w:rPr>
      </w:pPr>
    </w:p>
    <w:p w:rsidR="00394071" w:rsidRDefault="00394071" w:rsidP="00F1560C">
      <w:pPr>
        <w:jc w:val="center"/>
        <w:rPr>
          <w:rFonts w:ascii="Times New Roman" w:hAnsi="Times New Roman" w:cs="Times New Roman"/>
          <w:sz w:val="24"/>
          <w:szCs w:val="24"/>
        </w:rPr>
      </w:pPr>
    </w:p>
    <w:p w:rsidR="00B401D5" w:rsidRDefault="00B401D5" w:rsidP="00F1560C">
      <w:pPr>
        <w:jc w:val="center"/>
        <w:rPr>
          <w:rFonts w:ascii="Times New Roman" w:hAnsi="Times New Roman" w:cs="Times New Roman"/>
          <w:sz w:val="24"/>
          <w:szCs w:val="24"/>
        </w:rPr>
      </w:pPr>
    </w:p>
    <w:p w:rsidR="00F1560C" w:rsidRPr="00F1560C" w:rsidRDefault="00F1560C" w:rsidP="00F1560C">
      <w:pPr>
        <w:jc w:val="center"/>
        <w:rPr>
          <w:rFonts w:ascii="Times New Roman" w:hAnsi="Times New Roman" w:cs="Times New Roman"/>
          <w:b/>
          <w:bCs/>
        </w:rPr>
      </w:pPr>
      <w:r w:rsidRPr="00F1560C">
        <w:rPr>
          <w:rFonts w:ascii="Times New Roman" w:hAnsi="Times New Roman" w:cs="Times New Roman"/>
          <w:b/>
          <w:bCs/>
        </w:rPr>
        <w:lastRenderedPageBreak/>
        <w:t>Annexes</w:t>
      </w:r>
    </w:p>
    <w:p w:rsidR="004D0919" w:rsidRDefault="00F1560C" w:rsidP="004D0919">
      <w:pPr>
        <w:jc w:val="center"/>
        <w:rPr>
          <w:rFonts w:ascii="Times New Roman" w:hAnsi="Times New Roman" w:cs="Times New Roman"/>
          <w:b/>
          <w:bCs/>
        </w:rPr>
      </w:pPr>
      <w:r w:rsidRPr="00F1560C">
        <w:rPr>
          <w:rFonts w:ascii="Times New Roman" w:hAnsi="Times New Roman" w:cs="Times New Roman"/>
          <w:b/>
          <w:bCs/>
        </w:rPr>
        <w:br/>
        <w:t xml:space="preserve">Table 12: Average exchange rate of </w:t>
      </w:r>
      <w:r w:rsidR="000E0C2C">
        <w:rPr>
          <w:rFonts w:ascii="Times New Roman" w:hAnsi="Times New Roman" w:cs="Times New Roman"/>
          <w:b/>
          <w:bCs/>
        </w:rPr>
        <w:t>USD</w:t>
      </w:r>
      <w:r w:rsidRPr="00F1560C">
        <w:rPr>
          <w:rFonts w:ascii="Times New Roman" w:hAnsi="Times New Roman" w:cs="Times New Roman"/>
          <w:b/>
          <w:bCs/>
        </w:rPr>
        <w:t xml:space="preserve"> against the Israeli shekel during the period,</w:t>
      </w:r>
    </w:p>
    <w:p w:rsidR="00F1560C" w:rsidRPr="00322521" w:rsidRDefault="00F1560C" w:rsidP="004D0919">
      <w:pPr>
        <w:jc w:val="center"/>
        <w:rPr>
          <w:rFonts w:asciiTheme="majorBidi" w:hAnsiTheme="majorBidi" w:cstheme="majorBidi"/>
          <w:b/>
          <w:bCs/>
        </w:rPr>
      </w:pPr>
      <w:r w:rsidRPr="00F1560C">
        <w:rPr>
          <w:rFonts w:ascii="Times New Roman" w:hAnsi="Times New Roman" w:cs="Times New Roman"/>
          <w:b/>
          <w:bCs/>
        </w:rPr>
        <w:t xml:space="preserve"> (2004-201</w:t>
      </w:r>
      <w:r w:rsidR="00322521">
        <w:rPr>
          <w:rFonts w:ascii="Times New Roman" w:hAnsi="Times New Roman" w:cs="Times New Roman"/>
          <w:b/>
          <w:bCs/>
        </w:rPr>
        <w:t>1)</w:t>
      </w:r>
    </w:p>
    <w:tbl>
      <w:tblPr>
        <w:tblStyle w:val="TableGrid"/>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ayout w:type="fixed"/>
        <w:tblLook w:val="04A0"/>
      </w:tblPr>
      <w:tblGrid>
        <w:gridCol w:w="2518"/>
        <w:gridCol w:w="851"/>
        <w:gridCol w:w="850"/>
        <w:gridCol w:w="851"/>
        <w:gridCol w:w="850"/>
        <w:gridCol w:w="851"/>
        <w:gridCol w:w="850"/>
        <w:gridCol w:w="851"/>
        <w:gridCol w:w="815"/>
      </w:tblGrid>
      <w:tr w:rsidR="00F1560C" w:rsidTr="00F1560C">
        <w:tc>
          <w:tcPr>
            <w:tcW w:w="2518" w:type="dxa"/>
            <w:tcBorders>
              <w:top w:val="single" w:sz="12" w:space="0" w:color="auto"/>
              <w:bottom w:val="single" w:sz="12" w:space="0" w:color="auto"/>
            </w:tcBorders>
          </w:tcPr>
          <w:p w:rsidR="00F1560C" w:rsidRDefault="00F1560C" w:rsidP="007A7FF4">
            <w:pPr>
              <w:jc w:val="both"/>
              <w:rPr>
                <w:rFonts w:ascii="Times New Roman" w:hAnsi="Times New Roman" w:cs="Times New Roman"/>
                <w:sz w:val="24"/>
                <w:szCs w:val="24"/>
              </w:rPr>
            </w:pPr>
          </w:p>
        </w:tc>
        <w:tc>
          <w:tcPr>
            <w:tcW w:w="851" w:type="dxa"/>
            <w:tcBorders>
              <w:top w:val="single" w:sz="12" w:space="0" w:color="auto"/>
              <w:bottom w:val="single" w:sz="12" w:space="0" w:color="auto"/>
            </w:tcBorders>
          </w:tcPr>
          <w:p w:rsidR="00F1560C" w:rsidRPr="00F1560C" w:rsidRDefault="00F1560C" w:rsidP="007A7FF4">
            <w:pPr>
              <w:jc w:val="both"/>
              <w:rPr>
                <w:rFonts w:asciiTheme="minorBidi" w:hAnsiTheme="minorBidi"/>
                <w:b/>
                <w:bCs/>
                <w:sz w:val="18"/>
                <w:szCs w:val="18"/>
              </w:rPr>
            </w:pPr>
            <w:r w:rsidRPr="00F1560C">
              <w:rPr>
                <w:rFonts w:asciiTheme="minorBidi" w:hAnsiTheme="minorBidi"/>
                <w:b/>
                <w:bCs/>
                <w:sz w:val="18"/>
                <w:szCs w:val="18"/>
              </w:rPr>
              <w:t>2004</w:t>
            </w:r>
          </w:p>
        </w:tc>
        <w:tc>
          <w:tcPr>
            <w:tcW w:w="850" w:type="dxa"/>
            <w:tcBorders>
              <w:top w:val="single" w:sz="12" w:space="0" w:color="auto"/>
              <w:bottom w:val="single" w:sz="12" w:space="0" w:color="auto"/>
            </w:tcBorders>
          </w:tcPr>
          <w:p w:rsidR="00F1560C" w:rsidRPr="00F1560C" w:rsidRDefault="00F1560C" w:rsidP="007A7FF4">
            <w:pPr>
              <w:jc w:val="both"/>
              <w:rPr>
                <w:rFonts w:asciiTheme="minorBidi" w:hAnsiTheme="minorBidi"/>
                <w:b/>
                <w:bCs/>
                <w:sz w:val="18"/>
                <w:szCs w:val="18"/>
              </w:rPr>
            </w:pPr>
            <w:r w:rsidRPr="00F1560C">
              <w:rPr>
                <w:rFonts w:asciiTheme="minorBidi" w:hAnsiTheme="minorBidi"/>
                <w:b/>
                <w:bCs/>
                <w:sz w:val="18"/>
                <w:szCs w:val="18"/>
              </w:rPr>
              <w:t>2005</w:t>
            </w:r>
          </w:p>
        </w:tc>
        <w:tc>
          <w:tcPr>
            <w:tcW w:w="851" w:type="dxa"/>
            <w:tcBorders>
              <w:top w:val="single" w:sz="12" w:space="0" w:color="auto"/>
              <w:bottom w:val="single" w:sz="12" w:space="0" w:color="auto"/>
            </w:tcBorders>
          </w:tcPr>
          <w:p w:rsidR="00F1560C" w:rsidRPr="00F1560C" w:rsidRDefault="00F1560C" w:rsidP="007A7FF4">
            <w:pPr>
              <w:jc w:val="both"/>
              <w:rPr>
                <w:rFonts w:asciiTheme="minorBidi" w:hAnsiTheme="minorBidi"/>
                <w:b/>
                <w:bCs/>
                <w:sz w:val="18"/>
                <w:szCs w:val="18"/>
              </w:rPr>
            </w:pPr>
            <w:r w:rsidRPr="00F1560C">
              <w:rPr>
                <w:rFonts w:asciiTheme="minorBidi" w:hAnsiTheme="minorBidi"/>
                <w:b/>
                <w:bCs/>
                <w:sz w:val="18"/>
                <w:szCs w:val="18"/>
              </w:rPr>
              <w:t>2006</w:t>
            </w:r>
          </w:p>
        </w:tc>
        <w:tc>
          <w:tcPr>
            <w:tcW w:w="850" w:type="dxa"/>
            <w:tcBorders>
              <w:top w:val="single" w:sz="12" w:space="0" w:color="auto"/>
              <w:bottom w:val="single" w:sz="12" w:space="0" w:color="auto"/>
            </w:tcBorders>
          </w:tcPr>
          <w:p w:rsidR="00F1560C" w:rsidRPr="00F1560C" w:rsidRDefault="00F1560C" w:rsidP="007A7FF4">
            <w:pPr>
              <w:jc w:val="both"/>
              <w:rPr>
                <w:rFonts w:asciiTheme="minorBidi" w:hAnsiTheme="minorBidi"/>
                <w:b/>
                <w:bCs/>
                <w:sz w:val="18"/>
                <w:szCs w:val="18"/>
              </w:rPr>
            </w:pPr>
            <w:r w:rsidRPr="00F1560C">
              <w:rPr>
                <w:rFonts w:asciiTheme="minorBidi" w:hAnsiTheme="minorBidi"/>
                <w:b/>
                <w:bCs/>
                <w:sz w:val="18"/>
                <w:szCs w:val="18"/>
              </w:rPr>
              <w:t>2007</w:t>
            </w:r>
          </w:p>
        </w:tc>
        <w:tc>
          <w:tcPr>
            <w:tcW w:w="851" w:type="dxa"/>
            <w:tcBorders>
              <w:top w:val="single" w:sz="12" w:space="0" w:color="auto"/>
              <w:bottom w:val="single" w:sz="12" w:space="0" w:color="auto"/>
            </w:tcBorders>
          </w:tcPr>
          <w:p w:rsidR="00F1560C" w:rsidRPr="00F1560C" w:rsidRDefault="00F1560C" w:rsidP="007A7FF4">
            <w:pPr>
              <w:jc w:val="both"/>
              <w:rPr>
                <w:rFonts w:asciiTheme="minorBidi" w:hAnsiTheme="minorBidi"/>
                <w:b/>
                <w:bCs/>
                <w:sz w:val="18"/>
                <w:szCs w:val="18"/>
              </w:rPr>
            </w:pPr>
            <w:r w:rsidRPr="00F1560C">
              <w:rPr>
                <w:rFonts w:asciiTheme="minorBidi" w:hAnsiTheme="minorBidi"/>
                <w:b/>
                <w:bCs/>
                <w:sz w:val="18"/>
                <w:szCs w:val="18"/>
              </w:rPr>
              <w:t>2008</w:t>
            </w:r>
          </w:p>
        </w:tc>
        <w:tc>
          <w:tcPr>
            <w:tcW w:w="850" w:type="dxa"/>
            <w:tcBorders>
              <w:top w:val="single" w:sz="12" w:space="0" w:color="auto"/>
              <w:bottom w:val="single" w:sz="12" w:space="0" w:color="auto"/>
            </w:tcBorders>
          </w:tcPr>
          <w:p w:rsidR="00F1560C" w:rsidRPr="00F1560C" w:rsidRDefault="00F1560C" w:rsidP="007A7FF4">
            <w:pPr>
              <w:jc w:val="both"/>
              <w:rPr>
                <w:rFonts w:asciiTheme="minorBidi" w:hAnsiTheme="minorBidi"/>
                <w:b/>
                <w:bCs/>
                <w:sz w:val="18"/>
                <w:szCs w:val="18"/>
              </w:rPr>
            </w:pPr>
            <w:r w:rsidRPr="00F1560C">
              <w:rPr>
                <w:rFonts w:asciiTheme="minorBidi" w:hAnsiTheme="minorBidi"/>
                <w:b/>
                <w:bCs/>
                <w:sz w:val="18"/>
                <w:szCs w:val="18"/>
              </w:rPr>
              <w:t>2009</w:t>
            </w:r>
          </w:p>
        </w:tc>
        <w:tc>
          <w:tcPr>
            <w:tcW w:w="851" w:type="dxa"/>
            <w:tcBorders>
              <w:top w:val="single" w:sz="12" w:space="0" w:color="auto"/>
              <w:bottom w:val="single" w:sz="12" w:space="0" w:color="auto"/>
            </w:tcBorders>
          </w:tcPr>
          <w:p w:rsidR="00F1560C" w:rsidRPr="00F1560C" w:rsidRDefault="00F1560C" w:rsidP="007A7FF4">
            <w:pPr>
              <w:jc w:val="both"/>
              <w:rPr>
                <w:rFonts w:asciiTheme="minorBidi" w:hAnsiTheme="minorBidi"/>
                <w:b/>
                <w:bCs/>
                <w:sz w:val="18"/>
                <w:szCs w:val="18"/>
              </w:rPr>
            </w:pPr>
            <w:r w:rsidRPr="00F1560C">
              <w:rPr>
                <w:rFonts w:asciiTheme="minorBidi" w:hAnsiTheme="minorBidi"/>
                <w:b/>
                <w:bCs/>
                <w:sz w:val="18"/>
                <w:szCs w:val="18"/>
              </w:rPr>
              <w:t>2010</w:t>
            </w:r>
          </w:p>
        </w:tc>
        <w:tc>
          <w:tcPr>
            <w:tcW w:w="815" w:type="dxa"/>
            <w:tcBorders>
              <w:top w:val="single" w:sz="12" w:space="0" w:color="auto"/>
              <w:bottom w:val="single" w:sz="12" w:space="0" w:color="auto"/>
            </w:tcBorders>
          </w:tcPr>
          <w:p w:rsidR="00F1560C" w:rsidRPr="00F1560C" w:rsidRDefault="00F1560C" w:rsidP="007A7FF4">
            <w:pPr>
              <w:jc w:val="both"/>
              <w:rPr>
                <w:rFonts w:asciiTheme="minorBidi" w:hAnsiTheme="minorBidi"/>
                <w:b/>
                <w:bCs/>
                <w:sz w:val="18"/>
                <w:szCs w:val="18"/>
              </w:rPr>
            </w:pPr>
            <w:r w:rsidRPr="00F1560C">
              <w:rPr>
                <w:rFonts w:asciiTheme="minorBidi" w:hAnsiTheme="minorBidi"/>
                <w:b/>
                <w:bCs/>
                <w:sz w:val="18"/>
                <w:szCs w:val="18"/>
              </w:rPr>
              <w:t>2011</w:t>
            </w:r>
          </w:p>
        </w:tc>
      </w:tr>
      <w:tr w:rsidR="00F1560C" w:rsidTr="00F1560C">
        <w:tc>
          <w:tcPr>
            <w:tcW w:w="2518" w:type="dxa"/>
            <w:tcBorders>
              <w:top w:val="single" w:sz="12" w:space="0" w:color="auto"/>
            </w:tcBorders>
          </w:tcPr>
          <w:p w:rsidR="00F1560C" w:rsidRPr="00F1560C" w:rsidRDefault="00F1560C" w:rsidP="00F1560C">
            <w:pPr>
              <w:jc w:val="both"/>
              <w:rPr>
                <w:rFonts w:ascii="Times New Roman" w:hAnsi="Times New Roman" w:cs="Times New Roman"/>
                <w:b/>
                <w:bCs/>
                <w:sz w:val="18"/>
                <w:szCs w:val="18"/>
              </w:rPr>
            </w:pPr>
            <w:r w:rsidRPr="00F1560C">
              <w:rPr>
                <w:rFonts w:ascii="Times New Roman" w:hAnsi="Times New Roman" w:cs="Times New Roman"/>
                <w:b/>
                <w:bCs/>
                <w:sz w:val="18"/>
                <w:szCs w:val="18"/>
              </w:rPr>
              <w:t>Annual average</w:t>
            </w:r>
          </w:p>
        </w:tc>
        <w:tc>
          <w:tcPr>
            <w:tcW w:w="851" w:type="dxa"/>
            <w:tcBorders>
              <w:top w:val="single" w:sz="12" w:space="0" w:color="auto"/>
            </w:tcBorders>
          </w:tcPr>
          <w:p w:rsidR="00F1560C" w:rsidRPr="00F1560C" w:rsidRDefault="00F1560C" w:rsidP="007A7FF4">
            <w:pPr>
              <w:jc w:val="both"/>
              <w:rPr>
                <w:rFonts w:asciiTheme="minorBidi" w:hAnsiTheme="minorBidi"/>
                <w:sz w:val="18"/>
                <w:szCs w:val="18"/>
              </w:rPr>
            </w:pPr>
            <w:r w:rsidRPr="00F1560C">
              <w:rPr>
                <w:rFonts w:asciiTheme="minorBidi" w:hAnsiTheme="minorBidi"/>
                <w:color w:val="000000"/>
                <w:sz w:val="18"/>
                <w:szCs w:val="18"/>
                <w:rtl/>
              </w:rPr>
              <w:t>4.48</w:t>
            </w:r>
          </w:p>
        </w:tc>
        <w:tc>
          <w:tcPr>
            <w:tcW w:w="850" w:type="dxa"/>
            <w:tcBorders>
              <w:top w:val="single" w:sz="12" w:space="0" w:color="auto"/>
            </w:tcBorders>
          </w:tcPr>
          <w:p w:rsidR="00F1560C" w:rsidRPr="00F1560C" w:rsidRDefault="00F1560C" w:rsidP="007A7FF4">
            <w:pPr>
              <w:jc w:val="both"/>
              <w:rPr>
                <w:rFonts w:asciiTheme="minorBidi" w:hAnsiTheme="minorBidi"/>
                <w:sz w:val="18"/>
                <w:szCs w:val="18"/>
              </w:rPr>
            </w:pPr>
            <w:r w:rsidRPr="00F1560C">
              <w:rPr>
                <w:rFonts w:asciiTheme="minorBidi" w:hAnsiTheme="minorBidi"/>
                <w:color w:val="000000"/>
                <w:sz w:val="18"/>
                <w:szCs w:val="18"/>
                <w:rtl/>
              </w:rPr>
              <w:t>4.49</w:t>
            </w:r>
          </w:p>
        </w:tc>
        <w:tc>
          <w:tcPr>
            <w:tcW w:w="851" w:type="dxa"/>
            <w:tcBorders>
              <w:top w:val="single" w:sz="12" w:space="0" w:color="auto"/>
            </w:tcBorders>
          </w:tcPr>
          <w:p w:rsidR="00F1560C" w:rsidRPr="00F1560C" w:rsidRDefault="00F1560C" w:rsidP="007A7FF4">
            <w:pPr>
              <w:jc w:val="both"/>
              <w:rPr>
                <w:rFonts w:asciiTheme="minorBidi" w:hAnsiTheme="minorBidi"/>
                <w:sz w:val="18"/>
                <w:szCs w:val="18"/>
              </w:rPr>
            </w:pPr>
            <w:r w:rsidRPr="00F1560C">
              <w:rPr>
                <w:rFonts w:asciiTheme="minorBidi" w:hAnsiTheme="minorBidi"/>
                <w:color w:val="000000"/>
                <w:sz w:val="18"/>
                <w:szCs w:val="18"/>
                <w:rtl/>
              </w:rPr>
              <w:t>4.46</w:t>
            </w:r>
          </w:p>
        </w:tc>
        <w:tc>
          <w:tcPr>
            <w:tcW w:w="850" w:type="dxa"/>
            <w:tcBorders>
              <w:top w:val="single" w:sz="12" w:space="0" w:color="auto"/>
            </w:tcBorders>
          </w:tcPr>
          <w:p w:rsidR="00F1560C" w:rsidRPr="00F1560C" w:rsidRDefault="00F1560C" w:rsidP="007A7FF4">
            <w:pPr>
              <w:jc w:val="both"/>
              <w:rPr>
                <w:rFonts w:asciiTheme="minorBidi" w:hAnsiTheme="minorBidi"/>
                <w:sz w:val="18"/>
                <w:szCs w:val="18"/>
              </w:rPr>
            </w:pPr>
            <w:r w:rsidRPr="00F1560C">
              <w:rPr>
                <w:rFonts w:asciiTheme="minorBidi" w:hAnsiTheme="minorBidi"/>
                <w:color w:val="000000"/>
                <w:sz w:val="18"/>
                <w:szCs w:val="18"/>
                <w:rtl/>
              </w:rPr>
              <w:t>4.11</w:t>
            </w:r>
          </w:p>
        </w:tc>
        <w:tc>
          <w:tcPr>
            <w:tcW w:w="851" w:type="dxa"/>
            <w:tcBorders>
              <w:top w:val="single" w:sz="12" w:space="0" w:color="auto"/>
            </w:tcBorders>
          </w:tcPr>
          <w:p w:rsidR="00F1560C" w:rsidRPr="00F1560C" w:rsidRDefault="00F1560C" w:rsidP="007A7FF4">
            <w:pPr>
              <w:jc w:val="both"/>
              <w:rPr>
                <w:rFonts w:asciiTheme="minorBidi" w:hAnsiTheme="minorBidi"/>
                <w:sz w:val="18"/>
                <w:szCs w:val="18"/>
              </w:rPr>
            </w:pPr>
            <w:r w:rsidRPr="00F1560C">
              <w:rPr>
                <w:rFonts w:asciiTheme="minorBidi" w:hAnsiTheme="minorBidi"/>
                <w:color w:val="000000"/>
                <w:sz w:val="18"/>
                <w:szCs w:val="18"/>
                <w:rtl/>
              </w:rPr>
              <w:t>3.58</w:t>
            </w:r>
          </w:p>
        </w:tc>
        <w:tc>
          <w:tcPr>
            <w:tcW w:w="850" w:type="dxa"/>
            <w:tcBorders>
              <w:top w:val="single" w:sz="12" w:space="0" w:color="auto"/>
            </w:tcBorders>
          </w:tcPr>
          <w:p w:rsidR="00F1560C" w:rsidRPr="00F1560C" w:rsidRDefault="00F1560C" w:rsidP="007A7FF4">
            <w:pPr>
              <w:jc w:val="both"/>
              <w:rPr>
                <w:rFonts w:asciiTheme="minorBidi" w:hAnsiTheme="minorBidi"/>
                <w:sz w:val="18"/>
                <w:szCs w:val="18"/>
              </w:rPr>
            </w:pPr>
            <w:r w:rsidRPr="00F1560C">
              <w:rPr>
                <w:rFonts w:asciiTheme="minorBidi" w:hAnsiTheme="minorBidi"/>
                <w:color w:val="000000"/>
                <w:sz w:val="18"/>
                <w:szCs w:val="18"/>
                <w:rtl/>
              </w:rPr>
              <w:t>3.92</w:t>
            </w:r>
          </w:p>
        </w:tc>
        <w:tc>
          <w:tcPr>
            <w:tcW w:w="851" w:type="dxa"/>
            <w:tcBorders>
              <w:top w:val="single" w:sz="12" w:space="0" w:color="auto"/>
            </w:tcBorders>
          </w:tcPr>
          <w:p w:rsidR="00F1560C" w:rsidRPr="00F1560C" w:rsidRDefault="00F1560C" w:rsidP="007A7FF4">
            <w:pPr>
              <w:jc w:val="both"/>
              <w:rPr>
                <w:rFonts w:asciiTheme="minorBidi" w:hAnsiTheme="minorBidi"/>
                <w:sz w:val="18"/>
                <w:szCs w:val="18"/>
              </w:rPr>
            </w:pPr>
            <w:r w:rsidRPr="00F1560C">
              <w:rPr>
                <w:rFonts w:asciiTheme="minorBidi" w:hAnsiTheme="minorBidi"/>
                <w:color w:val="000000"/>
                <w:sz w:val="18"/>
                <w:szCs w:val="18"/>
                <w:rtl/>
              </w:rPr>
              <w:t>3.73</w:t>
            </w:r>
          </w:p>
        </w:tc>
        <w:tc>
          <w:tcPr>
            <w:tcW w:w="815" w:type="dxa"/>
            <w:tcBorders>
              <w:top w:val="single" w:sz="12" w:space="0" w:color="auto"/>
            </w:tcBorders>
          </w:tcPr>
          <w:p w:rsidR="00F1560C" w:rsidRPr="00F1560C" w:rsidRDefault="00F1560C" w:rsidP="007A7FF4">
            <w:pPr>
              <w:jc w:val="both"/>
              <w:rPr>
                <w:rFonts w:asciiTheme="minorBidi" w:hAnsiTheme="minorBidi"/>
                <w:sz w:val="18"/>
                <w:szCs w:val="18"/>
              </w:rPr>
            </w:pPr>
            <w:r w:rsidRPr="00F1560C">
              <w:rPr>
                <w:rFonts w:asciiTheme="minorBidi" w:hAnsiTheme="minorBidi"/>
                <w:color w:val="000000"/>
                <w:sz w:val="18"/>
                <w:szCs w:val="18"/>
                <w:rtl/>
              </w:rPr>
              <w:t>3.57</w:t>
            </w:r>
          </w:p>
        </w:tc>
      </w:tr>
    </w:tbl>
    <w:p w:rsidR="008A3152" w:rsidRPr="00210024" w:rsidRDefault="008A3152" w:rsidP="007A7FF4">
      <w:pPr>
        <w:spacing w:after="0"/>
        <w:jc w:val="both"/>
        <w:rPr>
          <w:rFonts w:ascii="Times New Roman" w:hAnsi="Times New Roman" w:cs="Times New Roman"/>
          <w:sz w:val="24"/>
          <w:szCs w:val="24"/>
        </w:rPr>
      </w:pPr>
    </w:p>
    <w:sectPr w:rsidR="008A3152" w:rsidRPr="00210024" w:rsidSect="00510B3A">
      <w:headerReference w:type="default" r:id="rId30"/>
      <w:footerReference w:type="default" r:id="rId31"/>
      <w:pgSz w:w="11907" w:h="16840" w:code="9"/>
      <w:pgMar w:top="1418" w:right="1418" w:bottom="1418" w:left="1418" w:header="709" w:footer="709"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9F2" w:rsidRDefault="003649F2" w:rsidP="00111D6A">
      <w:pPr>
        <w:spacing w:after="0" w:line="240" w:lineRule="auto"/>
      </w:pPr>
      <w:r>
        <w:separator/>
      </w:r>
    </w:p>
  </w:endnote>
  <w:endnote w:type="continuationSeparator" w:id="0">
    <w:p w:rsidR="003649F2" w:rsidRDefault="003649F2" w:rsidP="00111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16594"/>
      <w:docPartObj>
        <w:docPartGallery w:val="Page Numbers (Bottom of Page)"/>
        <w:docPartUnique/>
      </w:docPartObj>
    </w:sdtPr>
    <w:sdtContent>
      <w:p w:rsidR="009179FF" w:rsidRDefault="00385D0F">
        <w:pPr>
          <w:pStyle w:val="Footer"/>
          <w:jc w:val="center"/>
        </w:pPr>
        <w:fldSimple w:instr=" PAGE   \* MERGEFORMAT ">
          <w:r w:rsidR="001F2EBE">
            <w:rPr>
              <w:noProof/>
            </w:rPr>
            <w:t>36</w:t>
          </w:r>
        </w:fldSimple>
      </w:p>
    </w:sdtContent>
  </w:sdt>
  <w:p w:rsidR="009179FF" w:rsidRDefault="009179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9F2" w:rsidRDefault="003649F2" w:rsidP="00111D6A">
      <w:pPr>
        <w:spacing w:after="0" w:line="240" w:lineRule="auto"/>
      </w:pPr>
      <w:r>
        <w:separator/>
      </w:r>
    </w:p>
  </w:footnote>
  <w:footnote w:type="continuationSeparator" w:id="0">
    <w:p w:rsidR="003649F2" w:rsidRDefault="003649F2" w:rsidP="00111D6A">
      <w:pPr>
        <w:spacing w:after="0" w:line="240" w:lineRule="auto"/>
      </w:pPr>
      <w:r>
        <w:continuationSeparator/>
      </w:r>
    </w:p>
  </w:footnote>
  <w:footnote w:id="1">
    <w:p w:rsidR="009179FF" w:rsidRPr="00CA1079" w:rsidRDefault="009179FF" w:rsidP="008801E1">
      <w:pPr>
        <w:pStyle w:val="FootnoteText"/>
        <w:numPr>
          <w:ilvl w:val="0"/>
          <w:numId w:val="1"/>
        </w:numPr>
        <w:rPr>
          <w:rFonts w:asciiTheme="majorBidi" w:eastAsia="Times New Roman" w:hAnsiTheme="majorBidi" w:cstheme="majorBidi"/>
          <w:noProof/>
          <w:sz w:val="18"/>
          <w:szCs w:val="18"/>
        </w:rPr>
      </w:pPr>
      <w:r w:rsidRPr="00CA1079">
        <w:rPr>
          <w:rFonts w:asciiTheme="majorBidi" w:eastAsia="Times New Roman" w:hAnsiTheme="majorBidi" w:cstheme="majorBidi"/>
          <w:noProof/>
          <w:sz w:val="18"/>
          <w:szCs w:val="18"/>
        </w:rPr>
        <w:t>The data excludes those parts of Jerusalem which were annexed by Israel in 1967.</w:t>
      </w:r>
    </w:p>
    <w:p w:rsidR="009179FF" w:rsidRDefault="009179FF" w:rsidP="00FF539B">
      <w:pPr>
        <w:pStyle w:val="FootnoteText"/>
        <w:numPr>
          <w:ilvl w:val="0"/>
          <w:numId w:val="1"/>
        </w:numPr>
      </w:pPr>
      <w:r w:rsidRPr="00F9483E">
        <w:rPr>
          <w:rFonts w:ascii="Times New Roman" w:hAnsi="Times New Roman" w:cs="Times New Roman"/>
          <w:sz w:val="18"/>
          <w:szCs w:val="18"/>
        </w:rPr>
        <w:t xml:space="preserve">The number of population in Palestinian </w:t>
      </w:r>
      <w:r>
        <w:rPr>
          <w:rFonts w:ascii="Times New Roman" w:hAnsi="Times New Roman" w:cs="Times New Roman"/>
          <w:sz w:val="18"/>
          <w:szCs w:val="18"/>
        </w:rPr>
        <w:t>T</w:t>
      </w:r>
      <w:r w:rsidRPr="00F9483E">
        <w:rPr>
          <w:rFonts w:ascii="Times New Roman" w:hAnsi="Times New Roman" w:cs="Times New Roman"/>
          <w:sz w:val="18"/>
          <w:szCs w:val="18"/>
        </w:rPr>
        <w:t xml:space="preserve">erritory excluding </w:t>
      </w:r>
      <w:r>
        <w:rPr>
          <w:rFonts w:ascii="Times New Roman" w:hAnsi="Times New Roman" w:cs="Times New Roman"/>
          <w:sz w:val="18"/>
          <w:szCs w:val="18"/>
        </w:rPr>
        <w:t xml:space="preserve">those   </w:t>
      </w:r>
      <w:r w:rsidRPr="00F9483E">
        <w:rPr>
          <w:rFonts w:ascii="Times New Roman" w:hAnsi="Times New Roman" w:cs="Times New Roman"/>
          <w:sz w:val="18"/>
          <w:szCs w:val="18"/>
        </w:rPr>
        <w:t>part</w:t>
      </w:r>
      <w:r>
        <w:rPr>
          <w:rFonts w:ascii="Times New Roman" w:hAnsi="Times New Roman" w:cs="Times New Roman"/>
          <w:sz w:val="18"/>
          <w:szCs w:val="18"/>
        </w:rPr>
        <w:t xml:space="preserve">s </w:t>
      </w:r>
      <w:r w:rsidRPr="00F9483E">
        <w:rPr>
          <w:rFonts w:ascii="Times New Roman" w:hAnsi="Times New Roman" w:cs="Times New Roman"/>
          <w:sz w:val="18"/>
          <w:szCs w:val="18"/>
        </w:rPr>
        <w:t xml:space="preserve"> of Jerusalem </w:t>
      </w:r>
      <w:r>
        <w:rPr>
          <w:rFonts w:ascii="Times New Roman" w:hAnsi="Times New Roman" w:cs="Times New Roman"/>
          <w:sz w:val="18"/>
          <w:szCs w:val="18"/>
        </w:rPr>
        <w:t xml:space="preserve">which were </w:t>
      </w:r>
      <w:r w:rsidRPr="00F9483E">
        <w:rPr>
          <w:rFonts w:ascii="Times New Roman" w:hAnsi="Times New Roman" w:cs="Times New Roman"/>
          <w:sz w:val="18"/>
          <w:szCs w:val="18"/>
        </w:rPr>
        <w:t>annexed</w:t>
      </w:r>
      <w:r>
        <w:rPr>
          <w:rFonts w:ascii="Times New Roman" w:hAnsi="Times New Roman" w:cs="Times New Roman"/>
          <w:sz w:val="18"/>
          <w:szCs w:val="18"/>
        </w:rPr>
        <w:t xml:space="preserve"> by Israel </w:t>
      </w:r>
      <w:r w:rsidRPr="00F9483E">
        <w:rPr>
          <w:rFonts w:ascii="Times New Roman" w:hAnsi="Times New Roman" w:cs="Times New Roman"/>
          <w:sz w:val="18"/>
          <w:szCs w:val="18"/>
        </w:rPr>
        <w:t xml:space="preserve"> in 1967.</w:t>
      </w:r>
    </w:p>
  </w:footnote>
  <w:footnote w:id="2">
    <w:p w:rsidR="009179FF" w:rsidRPr="00D03871" w:rsidRDefault="009179FF" w:rsidP="007A7FF4">
      <w:pPr>
        <w:rPr>
          <w:sz w:val="16"/>
          <w:szCs w:val="16"/>
        </w:rPr>
      </w:pPr>
      <w:r>
        <w:rPr>
          <w:rStyle w:val="FootnoteReference"/>
          <w:sz w:val="20"/>
          <w:szCs w:val="20"/>
        </w:rPr>
        <w:t>1</w:t>
      </w:r>
      <w:r w:rsidRPr="00D03871">
        <w:rPr>
          <w:sz w:val="16"/>
          <w:szCs w:val="16"/>
        </w:rPr>
        <w:t xml:space="preserve"> </w:t>
      </w:r>
      <w:r>
        <w:rPr>
          <w:sz w:val="16"/>
          <w:szCs w:val="16"/>
        </w:rPr>
        <w:t>C</w:t>
      </w:r>
      <w:r w:rsidRPr="00D03871">
        <w:rPr>
          <w:sz w:val="16"/>
          <w:szCs w:val="16"/>
        </w:rPr>
        <w:t xml:space="preserve">apital transfers include transfers by a change </w:t>
      </w:r>
      <w:r>
        <w:rPr>
          <w:sz w:val="16"/>
          <w:szCs w:val="16"/>
        </w:rPr>
        <w:t>in</w:t>
      </w:r>
      <w:r w:rsidRPr="00D03871">
        <w:rPr>
          <w:sz w:val="16"/>
          <w:szCs w:val="16"/>
        </w:rPr>
        <w:t xml:space="preserve"> ownership of fixed assets or transfers of funds </w:t>
      </w:r>
      <w:r>
        <w:rPr>
          <w:sz w:val="16"/>
          <w:szCs w:val="16"/>
        </w:rPr>
        <w:t xml:space="preserve">associated with </w:t>
      </w:r>
      <w:r w:rsidRPr="00D03871">
        <w:rPr>
          <w:sz w:val="16"/>
          <w:szCs w:val="16"/>
        </w:rPr>
        <w:t xml:space="preserve">conditional or possession of fixed assets, disposition or transfers resulting from creditor </w:t>
      </w:r>
      <w:r>
        <w:rPr>
          <w:sz w:val="16"/>
          <w:szCs w:val="16"/>
        </w:rPr>
        <w:t xml:space="preserve">to drop </w:t>
      </w:r>
      <w:r w:rsidRPr="00D03871">
        <w:rPr>
          <w:sz w:val="16"/>
          <w:szCs w:val="16"/>
        </w:rPr>
        <w:t xml:space="preserve">opponents of debtor without receiving any return for it. The acquisition of assets of non-financial non-produced or disposed of, include intangible assets such as licensed patents and </w:t>
      </w:r>
      <w:r>
        <w:rPr>
          <w:sz w:val="16"/>
          <w:szCs w:val="16"/>
        </w:rPr>
        <w:t xml:space="preserve">leases </w:t>
      </w:r>
      <w:r w:rsidRPr="00D03871">
        <w:rPr>
          <w:sz w:val="16"/>
          <w:szCs w:val="16"/>
        </w:rPr>
        <w:t>and other contracts transferable to othe</w:t>
      </w:r>
      <w:r>
        <w:rPr>
          <w:sz w:val="16"/>
          <w:szCs w:val="16"/>
        </w:rPr>
        <w:t>rs</w:t>
      </w:r>
      <w:r w:rsidRPr="00D03871">
        <w:rPr>
          <w:sz w:val="16"/>
          <w:szCs w:val="16"/>
        </w:rPr>
        <w:t xml:space="preserve"> and the like.</w:t>
      </w:r>
    </w:p>
    <w:p w:rsidR="009179FF" w:rsidRDefault="009179FF" w:rsidP="007A7FF4">
      <w:pPr>
        <w:pStyle w:val="FootnoteText"/>
      </w:pPr>
    </w:p>
  </w:footnote>
  <w:footnote w:id="3">
    <w:p w:rsidR="009179FF" w:rsidRPr="00210024" w:rsidRDefault="009179FF" w:rsidP="00BB4C3A">
      <w:pPr>
        <w:spacing w:after="0"/>
        <w:jc w:val="both"/>
        <w:rPr>
          <w:rFonts w:ascii="Times New Roman" w:hAnsi="Times New Roman" w:cs="Times New Roman"/>
        </w:rPr>
      </w:pPr>
      <w:r>
        <w:rPr>
          <w:rStyle w:val="FootnoteReference"/>
        </w:rPr>
        <w:t>1</w:t>
      </w:r>
      <w:r>
        <w:t xml:space="preserve"> </w:t>
      </w:r>
      <w:r w:rsidRPr="00210024">
        <w:rPr>
          <w:rFonts w:ascii="Times New Roman" w:hAnsi="Times New Roman" w:cs="Times New Roman"/>
          <w:sz w:val="18"/>
          <w:szCs w:val="18"/>
        </w:rPr>
        <w:t xml:space="preserve">Foreign trade data registered and not registered including Jerusalem area (J1) </w:t>
      </w:r>
    </w:p>
    <w:p w:rsidR="009179FF" w:rsidRDefault="009179FF">
      <w:pPr>
        <w:pStyle w:val="FootnoteText"/>
      </w:pPr>
    </w:p>
  </w:footnote>
  <w:footnote w:id="4">
    <w:p w:rsidR="009179FF" w:rsidRPr="00E41460" w:rsidRDefault="009179FF" w:rsidP="00B4571F">
      <w:pPr>
        <w:pStyle w:val="FootnoteText"/>
        <w:jc w:val="both"/>
        <w:rPr>
          <w:rFonts w:ascii="Times New Roman" w:hAnsi="Times New Roman" w:cs="Times New Roman"/>
        </w:rPr>
      </w:pPr>
      <w:r w:rsidRPr="00E41460">
        <w:rPr>
          <w:rStyle w:val="FootnoteReference"/>
          <w:rFonts w:ascii="Times New Roman" w:hAnsi="Times New Roman" w:cs="Times New Roman"/>
        </w:rPr>
        <w:t>1</w:t>
      </w:r>
      <w:r w:rsidRPr="00E41460">
        <w:rPr>
          <w:rFonts w:ascii="Times New Roman" w:hAnsi="Times New Roman" w:cs="Times New Roman"/>
          <w:rtl/>
        </w:rPr>
        <w:t xml:space="preserve"> </w:t>
      </w:r>
      <w:r w:rsidRPr="00E41460">
        <w:rPr>
          <w:rStyle w:val="hps"/>
          <w:rFonts w:ascii="Times New Roman" w:hAnsi="Times New Roman" w:cs="Times New Roman"/>
          <w:color w:val="333333"/>
          <w:sz w:val="15"/>
          <w:szCs w:val="15"/>
        </w:rPr>
        <w:t>Public financial</w:t>
      </w:r>
      <w:r w:rsidRPr="00E41460">
        <w:rPr>
          <w:rFonts w:ascii="Times New Roman" w:hAnsi="Times New Roman" w:cs="Times New Roman"/>
          <w:color w:val="333333"/>
          <w:sz w:val="15"/>
          <w:szCs w:val="15"/>
        </w:rPr>
        <w:t xml:space="preserve"> </w:t>
      </w:r>
      <w:r w:rsidRPr="00E41460">
        <w:rPr>
          <w:rStyle w:val="hps"/>
          <w:rFonts w:ascii="Times New Roman" w:hAnsi="Times New Roman" w:cs="Times New Roman"/>
          <w:color w:val="333333"/>
          <w:sz w:val="15"/>
          <w:szCs w:val="15"/>
        </w:rPr>
        <w:t>statements</w:t>
      </w:r>
      <w:r w:rsidRPr="00E41460">
        <w:rPr>
          <w:rFonts w:ascii="Times New Roman" w:hAnsi="Times New Roman" w:cs="Times New Roman"/>
          <w:color w:val="333333"/>
          <w:sz w:val="15"/>
          <w:szCs w:val="15"/>
        </w:rPr>
        <w:t xml:space="preserve"> </w:t>
      </w:r>
      <w:r w:rsidRPr="00E41460">
        <w:rPr>
          <w:rStyle w:val="hps"/>
          <w:rFonts w:ascii="Times New Roman" w:hAnsi="Times New Roman" w:cs="Times New Roman"/>
          <w:color w:val="333333"/>
          <w:sz w:val="15"/>
          <w:szCs w:val="15"/>
        </w:rPr>
        <w:t>do not include</w:t>
      </w:r>
      <w:r w:rsidRPr="00E41460">
        <w:rPr>
          <w:rFonts w:ascii="Times New Roman" w:hAnsi="Times New Roman" w:cs="Times New Roman"/>
          <w:color w:val="333333"/>
          <w:sz w:val="15"/>
          <w:szCs w:val="15"/>
        </w:rPr>
        <w:t xml:space="preserve"> </w:t>
      </w:r>
      <w:r w:rsidRPr="00E41460">
        <w:rPr>
          <w:rStyle w:val="hps"/>
          <w:rFonts w:ascii="Times New Roman" w:hAnsi="Times New Roman" w:cs="Times New Roman"/>
          <w:color w:val="333333"/>
          <w:sz w:val="15"/>
          <w:szCs w:val="15"/>
        </w:rPr>
        <w:t>local governments</w:t>
      </w:r>
      <w:r w:rsidRPr="00E41460">
        <w:rPr>
          <w:rFonts w:ascii="Times New Roman" w:hAnsi="Times New Roman" w:cs="Times New Roman"/>
          <w:color w:val="333333"/>
          <w:sz w:val="15"/>
          <w:szCs w:val="15"/>
        </w:rPr>
        <w:t xml:space="preserve"> </w:t>
      </w:r>
      <w:r w:rsidRPr="00E41460">
        <w:rPr>
          <w:rStyle w:val="hps"/>
          <w:rFonts w:ascii="Times New Roman" w:hAnsi="Times New Roman" w:cs="Times New Roman"/>
          <w:color w:val="333333"/>
          <w:sz w:val="15"/>
          <w:szCs w:val="15"/>
        </w:rPr>
        <w:t xml:space="preserve">( local </w:t>
      </w:r>
      <w:r w:rsidRPr="00E41460">
        <w:rPr>
          <w:rFonts w:ascii="Times New Roman" w:hAnsi="Times New Roman" w:cs="Times New Roman"/>
          <w:color w:val="333333"/>
          <w:sz w:val="15"/>
          <w:szCs w:val="15"/>
        </w:rPr>
        <w:t xml:space="preserve">councils and </w:t>
      </w:r>
      <w:r w:rsidRPr="00E41460">
        <w:rPr>
          <w:rStyle w:val="hps"/>
          <w:rFonts w:ascii="Times New Roman" w:hAnsi="Times New Roman" w:cs="Times New Roman"/>
          <w:color w:val="333333"/>
          <w:sz w:val="15"/>
          <w:szCs w:val="15"/>
        </w:rPr>
        <w:t>municipalities)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9FF" w:rsidRPr="00EE2F86" w:rsidRDefault="009179FF" w:rsidP="00E10E7B">
    <w:pPr>
      <w:pStyle w:val="Header"/>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2011</w:t>
    </w:r>
  </w:p>
  <w:p w:rsidR="009179FF" w:rsidRDefault="009179FF" w:rsidP="00E10E7B">
    <w:pPr>
      <w:pStyle w:val="Header"/>
    </w:pPr>
  </w:p>
  <w:p w:rsidR="009179FF" w:rsidRDefault="009179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ED6A82"/>
    <w:multiLevelType w:val="hybridMultilevel"/>
    <w:tmpl w:val="AEA230F0"/>
    <w:lvl w:ilvl="0" w:tplc="B82A9D2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footnotePr>
    <w:footnote w:id="-1"/>
    <w:footnote w:id="0"/>
  </w:footnotePr>
  <w:endnotePr>
    <w:endnote w:id="-1"/>
    <w:endnote w:id="0"/>
  </w:endnotePr>
  <w:compat/>
  <w:rsids>
    <w:rsidRoot w:val="008D344E"/>
    <w:rsid w:val="000069A0"/>
    <w:rsid w:val="00020161"/>
    <w:rsid w:val="00030E2F"/>
    <w:rsid w:val="00037624"/>
    <w:rsid w:val="00041F38"/>
    <w:rsid w:val="00053AB7"/>
    <w:rsid w:val="00066501"/>
    <w:rsid w:val="0007266B"/>
    <w:rsid w:val="00076CF2"/>
    <w:rsid w:val="00081778"/>
    <w:rsid w:val="000A5609"/>
    <w:rsid w:val="000D23E8"/>
    <w:rsid w:val="000D4F55"/>
    <w:rsid w:val="000D7CF8"/>
    <w:rsid w:val="000E0C2C"/>
    <w:rsid w:val="000F156D"/>
    <w:rsid w:val="000F480A"/>
    <w:rsid w:val="00111D6A"/>
    <w:rsid w:val="0011753B"/>
    <w:rsid w:val="00133194"/>
    <w:rsid w:val="0013337D"/>
    <w:rsid w:val="00134B02"/>
    <w:rsid w:val="00136EA3"/>
    <w:rsid w:val="00146ED5"/>
    <w:rsid w:val="001524AD"/>
    <w:rsid w:val="00153944"/>
    <w:rsid w:val="0015694C"/>
    <w:rsid w:val="00157E75"/>
    <w:rsid w:val="00173ADC"/>
    <w:rsid w:val="001775C6"/>
    <w:rsid w:val="001777ED"/>
    <w:rsid w:val="00186847"/>
    <w:rsid w:val="00186D70"/>
    <w:rsid w:val="001A5023"/>
    <w:rsid w:val="001B3658"/>
    <w:rsid w:val="001E65A2"/>
    <w:rsid w:val="001E6F67"/>
    <w:rsid w:val="001E77E6"/>
    <w:rsid w:val="001F0349"/>
    <w:rsid w:val="001F2EBE"/>
    <w:rsid w:val="00210024"/>
    <w:rsid w:val="00225F31"/>
    <w:rsid w:val="00226DBA"/>
    <w:rsid w:val="00247405"/>
    <w:rsid w:val="00273EB6"/>
    <w:rsid w:val="0029250C"/>
    <w:rsid w:val="00297186"/>
    <w:rsid w:val="002A48D1"/>
    <w:rsid w:val="002A5618"/>
    <w:rsid w:val="002A7ECE"/>
    <w:rsid w:val="002C2D73"/>
    <w:rsid w:val="002C7C30"/>
    <w:rsid w:val="002F0072"/>
    <w:rsid w:val="002F4F31"/>
    <w:rsid w:val="003134F1"/>
    <w:rsid w:val="00322521"/>
    <w:rsid w:val="00341164"/>
    <w:rsid w:val="00357906"/>
    <w:rsid w:val="003602C1"/>
    <w:rsid w:val="00364582"/>
    <w:rsid w:val="003649F2"/>
    <w:rsid w:val="00370A71"/>
    <w:rsid w:val="0037118C"/>
    <w:rsid w:val="0037692B"/>
    <w:rsid w:val="00385D0F"/>
    <w:rsid w:val="00391DF7"/>
    <w:rsid w:val="00394071"/>
    <w:rsid w:val="003A07FC"/>
    <w:rsid w:val="003A3BC9"/>
    <w:rsid w:val="003A5405"/>
    <w:rsid w:val="003B4325"/>
    <w:rsid w:val="003C568B"/>
    <w:rsid w:val="003D0314"/>
    <w:rsid w:val="003D4C20"/>
    <w:rsid w:val="003D7704"/>
    <w:rsid w:val="003E71DB"/>
    <w:rsid w:val="00406184"/>
    <w:rsid w:val="004264D6"/>
    <w:rsid w:val="00434C3A"/>
    <w:rsid w:val="00442A44"/>
    <w:rsid w:val="004537E6"/>
    <w:rsid w:val="00454B42"/>
    <w:rsid w:val="004571E6"/>
    <w:rsid w:val="00463AEF"/>
    <w:rsid w:val="0046649B"/>
    <w:rsid w:val="00471C95"/>
    <w:rsid w:val="004A1979"/>
    <w:rsid w:val="004D0919"/>
    <w:rsid w:val="004D1922"/>
    <w:rsid w:val="004D3632"/>
    <w:rsid w:val="004D5696"/>
    <w:rsid w:val="004E405F"/>
    <w:rsid w:val="004E71BC"/>
    <w:rsid w:val="004F7818"/>
    <w:rsid w:val="00503F8D"/>
    <w:rsid w:val="00510B3A"/>
    <w:rsid w:val="00513627"/>
    <w:rsid w:val="005319F9"/>
    <w:rsid w:val="0053226C"/>
    <w:rsid w:val="00535E34"/>
    <w:rsid w:val="0053607E"/>
    <w:rsid w:val="00536523"/>
    <w:rsid w:val="005373B1"/>
    <w:rsid w:val="0054063B"/>
    <w:rsid w:val="005469D9"/>
    <w:rsid w:val="0055295F"/>
    <w:rsid w:val="0056197A"/>
    <w:rsid w:val="0056772B"/>
    <w:rsid w:val="00567D4D"/>
    <w:rsid w:val="0057092C"/>
    <w:rsid w:val="00574521"/>
    <w:rsid w:val="00584860"/>
    <w:rsid w:val="00590325"/>
    <w:rsid w:val="00592FE8"/>
    <w:rsid w:val="00593246"/>
    <w:rsid w:val="0059468D"/>
    <w:rsid w:val="0059586B"/>
    <w:rsid w:val="005A2130"/>
    <w:rsid w:val="005B388D"/>
    <w:rsid w:val="005E7595"/>
    <w:rsid w:val="005F1506"/>
    <w:rsid w:val="00605295"/>
    <w:rsid w:val="00616AE0"/>
    <w:rsid w:val="00647A30"/>
    <w:rsid w:val="00651DAA"/>
    <w:rsid w:val="0065484C"/>
    <w:rsid w:val="00670BA6"/>
    <w:rsid w:val="00685D0B"/>
    <w:rsid w:val="00691B2E"/>
    <w:rsid w:val="006A1672"/>
    <w:rsid w:val="006A2CB9"/>
    <w:rsid w:val="006A40C3"/>
    <w:rsid w:val="006B5F34"/>
    <w:rsid w:val="006B5FC8"/>
    <w:rsid w:val="006C2F9D"/>
    <w:rsid w:val="006E4EEB"/>
    <w:rsid w:val="006E539C"/>
    <w:rsid w:val="006F0061"/>
    <w:rsid w:val="00703BC4"/>
    <w:rsid w:val="007275F9"/>
    <w:rsid w:val="00736C4E"/>
    <w:rsid w:val="007415E5"/>
    <w:rsid w:val="00750889"/>
    <w:rsid w:val="00752C77"/>
    <w:rsid w:val="00754640"/>
    <w:rsid w:val="00755DAD"/>
    <w:rsid w:val="00757360"/>
    <w:rsid w:val="00764D94"/>
    <w:rsid w:val="00770B54"/>
    <w:rsid w:val="007776B6"/>
    <w:rsid w:val="00781C6E"/>
    <w:rsid w:val="00795EB4"/>
    <w:rsid w:val="007A1A93"/>
    <w:rsid w:val="007A1F08"/>
    <w:rsid w:val="007A31AC"/>
    <w:rsid w:val="007A76CA"/>
    <w:rsid w:val="007A7FF4"/>
    <w:rsid w:val="007C3366"/>
    <w:rsid w:val="007C3CE1"/>
    <w:rsid w:val="007D0065"/>
    <w:rsid w:val="007E12A0"/>
    <w:rsid w:val="007E4911"/>
    <w:rsid w:val="007F4B39"/>
    <w:rsid w:val="00802056"/>
    <w:rsid w:val="00813493"/>
    <w:rsid w:val="0081554C"/>
    <w:rsid w:val="00830F7E"/>
    <w:rsid w:val="00842B9E"/>
    <w:rsid w:val="00845161"/>
    <w:rsid w:val="00846D5A"/>
    <w:rsid w:val="008629EF"/>
    <w:rsid w:val="008658F7"/>
    <w:rsid w:val="008706B4"/>
    <w:rsid w:val="0087757F"/>
    <w:rsid w:val="008801E1"/>
    <w:rsid w:val="008829E0"/>
    <w:rsid w:val="008840FE"/>
    <w:rsid w:val="008868D1"/>
    <w:rsid w:val="0089393C"/>
    <w:rsid w:val="008A3152"/>
    <w:rsid w:val="008A57F1"/>
    <w:rsid w:val="008A5AF7"/>
    <w:rsid w:val="008B5A6E"/>
    <w:rsid w:val="008B69EC"/>
    <w:rsid w:val="008C2F83"/>
    <w:rsid w:val="008C4CBE"/>
    <w:rsid w:val="008C578E"/>
    <w:rsid w:val="008C732F"/>
    <w:rsid w:val="008D1343"/>
    <w:rsid w:val="008D288C"/>
    <w:rsid w:val="008D344E"/>
    <w:rsid w:val="008E7D60"/>
    <w:rsid w:val="008F660B"/>
    <w:rsid w:val="008F7188"/>
    <w:rsid w:val="00903471"/>
    <w:rsid w:val="00905B80"/>
    <w:rsid w:val="009179BD"/>
    <w:rsid w:val="009179FF"/>
    <w:rsid w:val="009274F8"/>
    <w:rsid w:val="00940325"/>
    <w:rsid w:val="009405F2"/>
    <w:rsid w:val="00940DEB"/>
    <w:rsid w:val="009455A7"/>
    <w:rsid w:val="0094572A"/>
    <w:rsid w:val="00950DA6"/>
    <w:rsid w:val="00962EC8"/>
    <w:rsid w:val="00966506"/>
    <w:rsid w:val="00976061"/>
    <w:rsid w:val="009848BE"/>
    <w:rsid w:val="0098712C"/>
    <w:rsid w:val="00992AD0"/>
    <w:rsid w:val="009A7D3E"/>
    <w:rsid w:val="009B493F"/>
    <w:rsid w:val="009B6DD4"/>
    <w:rsid w:val="009C44F0"/>
    <w:rsid w:val="009C78AC"/>
    <w:rsid w:val="009D71C9"/>
    <w:rsid w:val="009D78AB"/>
    <w:rsid w:val="009F03B1"/>
    <w:rsid w:val="009F20E3"/>
    <w:rsid w:val="009F55CA"/>
    <w:rsid w:val="00A10DF1"/>
    <w:rsid w:val="00A14BF2"/>
    <w:rsid w:val="00A15F2A"/>
    <w:rsid w:val="00A171C2"/>
    <w:rsid w:val="00A2204E"/>
    <w:rsid w:val="00A22E5F"/>
    <w:rsid w:val="00A41553"/>
    <w:rsid w:val="00A43A42"/>
    <w:rsid w:val="00A47C3B"/>
    <w:rsid w:val="00A53EF6"/>
    <w:rsid w:val="00A550B5"/>
    <w:rsid w:val="00A66B4C"/>
    <w:rsid w:val="00A8477B"/>
    <w:rsid w:val="00AB7DB1"/>
    <w:rsid w:val="00AD6807"/>
    <w:rsid w:val="00AD72CC"/>
    <w:rsid w:val="00AE4744"/>
    <w:rsid w:val="00AE636E"/>
    <w:rsid w:val="00AE6385"/>
    <w:rsid w:val="00AF5897"/>
    <w:rsid w:val="00B0080C"/>
    <w:rsid w:val="00B05614"/>
    <w:rsid w:val="00B23F32"/>
    <w:rsid w:val="00B2578A"/>
    <w:rsid w:val="00B33700"/>
    <w:rsid w:val="00B359AF"/>
    <w:rsid w:val="00B401D5"/>
    <w:rsid w:val="00B4571F"/>
    <w:rsid w:val="00B5365A"/>
    <w:rsid w:val="00B54D02"/>
    <w:rsid w:val="00B66FDB"/>
    <w:rsid w:val="00B70238"/>
    <w:rsid w:val="00B71E31"/>
    <w:rsid w:val="00B76223"/>
    <w:rsid w:val="00B775F3"/>
    <w:rsid w:val="00B82028"/>
    <w:rsid w:val="00B850B7"/>
    <w:rsid w:val="00B87732"/>
    <w:rsid w:val="00B9201E"/>
    <w:rsid w:val="00BB1A72"/>
    <w:rsid w:val="00BB4C3A"/>
    <w:rsid w:val="00BB55EC"/>
    <w:rsid w:val="00BB69B4"/>
    <w:rsid w:val="00BC028D"/>
    <w:rsid w:val="00BC2313"/>
    <w:rsid w:val="00BE0DD1"/>
    <w:rsid w:val="00BE42A3"/>
    <w:rsid w:val="00BF20CC"/>
    <w:rsid w:val="00BF69B2"/>
    <w:rsid w:val="00C00689"/>
    <w:rsid w:val="00C06232"/>
    <w:rsid w:val="00C250C4"/>
    <w:rsid w:val="00C260E1"/>
    <w:rsid w:val="00C3140E"/>
    <w:rsid w:val="00C34CF6"/>
    <w:rsid w:val="00C64ADF"/>
    <w:rsid w:val="00C81675"/>
    <w:rsid w:val="00C82CF6"/>
    <w:rsid w:val="00C85B4C"/>
    <w:rsid w:val="00C954DF"/>
    <w:rsid w:val="00C95C64"/>
    <w:rsid w:val="00CA1079"/>
    <w:rsid w:val="00CA5DA0"/>
    <w:rsid w:val="00CB6ACA"/>
    <w:rsid w:val="00CC318E"/>
    <w:rsid w:val="00CC3EF1"/>
    <w:rsid w:val="00D10B1C"/>
    <w:rsid w:val="00D175E5"/>
    <w:rsid w:val="00D26399"/>
    <w:rsid w:val="00D325DB"/>
    <w:rsid w:val="00D34A05"/>
    <w:rsid w:val="00D4451A"/>
    <w:rsid w:val="00D62C7C"/>
    <w:rsid w:val="00D82D74"/>
    <w:rsid w:val="00D936C0"/>
    <w:rsid w:val="00DA2371"/>
    <w:rsid w:val="00DA264A"/>
    <w:rsid w:val="00DA653C"/>
    <w:rsid w:val="00DB0052"/>
    <w:rsid w:val="00DC3103"/>
    <w:rsid w:val="00DC3985"/>
    <w:rsid w:val="00DC407E"/>
    <w:rsid w:val="00DD5B35"/>
    <w:rsid w:val="00DE3BB6"/>
    <w:rsid w:val="00DE4AB8"/>
    <w:rsid w:val="00DF3036"/>
    <w:rsid w:val="00DF3769"/>
    <w:rsid w:val="00DF3A9F"/>
    <w:rsid w:val="00DF6233"/>
    <w:rsid w:val="00E10E7B"/>
    <w:rsid w:val="00E16F4E"/>
    <w:rsid w:val="00E23204"/>
    <w:rsid w:val="00E2628E"/>
    <w:rsid w:val="00E30291"/>
    <w:rsid w:val="00E32FE5"/>
    <w:rsid w:val="00E3414A"/>
    <w:rsid w:val="00E41460"/>
    <w:rsid w:val="00E601A7"/>
    <w:rsid w:val="00E635C6"/>
    <w:rsid w:val="00E63909"/>
    <w:rsid w:val="00E90348"/>
    <w:rsid w:val="00E9290D"/>
    <w:rsid w:val="00E95BB2"/>
    <w:rsid w:val="00E96412"/>
    <w:rsid w:val="00EA123E"/>
    <w:rsid w:val="00EA6EB3"/>
    <w:rsid w:val="00EA7266"/>
    <w:rsid w:val="00EB0B9C"/>
    <w:rsid w:val="00EC7242"/>
    <w:rsid w:val="00EC75C1"/>
    <w:rsid w:val="00EE7F53"/>
    <w:rsid w:val="00EF6911"/>
    <w:rsid w:val="00F1560C"/>
    <w:rsid w:val="00F22A25"/>
    <w:rsid w:val="00F244F4"/>
    <w:rsid w:val="00F3294F"/>
    <w:rsid w:val="00F3389C"/>
    <w:rsid w:val="00F377C0"/>
    <w:rsid w:val="00F44DDC"/>
    <w:rsid w:val="00F50CD9"/>
    <w:rsid w:val="00F52430"/>
    <w:rsid w:val="00F6054B"/>
    <w:rsid w:val="00F60570"/>
    <w:rsid w:val="00F64796"/>
    <w:rsid w:val="00F663D0"/>
    <w:rsid w:val="00F73D2A"/>
    <w:rsid w:val="00F82D3C"/>
    <w:rsid w:val="00F87BA0"/>
    <w:rsid w:val="00F93497"/>
    <w:rsid w:val="00F9483E"/>
    <w:rsid w:val="00FA0F09"/>
    <w:rsid w:val="00FA5ABD"/>
    <w:rsid w:val="00FA5B3B"/>
    <w:rsid w:val="00FA5DCA"/>
    <w:rsid w:val="00FB1ACA"/>
    <w:rsid w:val="00FC4CF0"/>
    <w:rsid w:val="00FC5C88"/>
    <w:rsid w:val="00FD3BAC"/>
    <w:rsid w:val="00FE420F"/>
    <w:rsid w:val="00FE6B5F"/>
    <w:rsid w:val="00FF39F1"/>
    <w:rsid w:val="00FF539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CA"/>
  </w:style>
  <w:style w:type="paragraph" w:styleId="Heading2">
    <w:name w:val="heading 2"/>
    <w:basedOn w:val="Normal"/>
    <w:next w:val="Normal"/>
    <w:link w:val="Heading2Char"/>
    <w:uiPriority w:val="9"/>
    <w:semiHidden/>
    <w:unhideWhenUsed/>
    <w:qFormat/>
    <w:rsid w:val="007A7F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A7FF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801E1"/>
    <w:pPr>
      <w:keepNext/>
      <w:keepLines/>
      <w:bidi/>
      <w:spacing w:before="200" w:after="0"/>
      <w:outlineLvl w:val="3"/>
    </w:pPr>
    <w:rPr>
      <w:rFonts w:ascii="Cambria" w:eastAsia="Times New Roman" w:hAnsi="Cambria" w:cs="Times New Roman"/>
      <w:b/>
      <w:bCs/>
      <w:i/>
      <w:iCs/>
      <w:color w:val="4F81BD"/>
    </w:rPr>
  </w:style>
  <w:style w:type="paragraph" w:styleId="Heading7">
    <w:name w:val="heading 7"/>
    <w:basedOn w:val="Normal"/>
    <w:next w:val="Normal"/>
    <w:link w:val="Heading7Char"/>
    <w:uiPriority w:val="9"/>
    <w:unhideWhenUsed/>
    <w:qFormat/>
    <w:rsid w:val="00B4571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7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57F"/>
    <w:rPr>
      <w:rFonts w:ascii="Tahoma" w:hAnsi="Tahoma" w:cs="Tahoma"/>
      <w:sz w:val="16"/>
      <w:szCs w:val="16"/>
    </w:rPr>
  </w:style>
  <w:style w:type="paragraph" w:customStyle="1" w:styleId="xl69">
    <w:name w:val="xl69"/>
    <w:basedOn w:val="Normal"/>
    <w:rsid w:val="004F7818"/>
    <w:pPr>
      <w:spacing w:before="100" w:beforeAutospacing="1" w:after="100" w:afterAutospacing="1" w:line="240" w:lineRule="auto"/>
      <w:jc w:val="center"/>
      <w:textAlignment w:val="center"/>
    </w:pPr>
    <w:rPr>
      <w:rFonts w:ascii="Times New Roman" w:eastAsia="Times New Roman" w:hAnsi="Times New Roman" w:cs="Simplified Arabic" w:hint="cs"/>
      <w:b/>
      <w:bCs/>
    </w:rPr>
  </w:style>
  <w:style w:type="paragraph" w:styleId="FootnoteText">
    <w:name w:val="footnote text"/>
    <w:basedOn w:val="Normal"/>
    <w:link w:val="FootnoteTextChar"/>
    <w:uiPriority w:val="99"/>
    <w:semiHidden/>
    <w:unhideWhenUsed/>
    <w:rsid w:val="00111D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1D6A"/>
    <w:rPr>
      <w:sz w:val="20"/>
      <w:szCs w:val="20"/>
    </w:rPr>
  </w:style>
  <w:style w:type="character" w:styleId="FootnoteReference">
    <w:name w:val="footnote reference"/>
    <w:basedOn w:val="DefaultParagraphFont"/>
    <w:uiPriority w:val="99"/>
    <w:semiHidden/>
    <w:unhideWhenUsed/>
    <w:rsid w:val="00111D6A"/>
    <w:rPr>
      <w:vertAlign w:val="superscript"/>
    </w:rPr>
  </w:style>
  <w:style w:type="table" w:styleId="TableGrid">
    <w:name w:val="Table Grid"/>
    <w:basedOn w:val="TableNormal"/>
    <w:uiPriority w:val="59"/>
    <w:rsid w:val="00703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semiHidden/>
    <w:rsid w:val="00F9483E"/>
    <w:pPr>
      <w:jc w:val="lowKashida"/>
    </w:pPr>
    <w:rPr>
      <w:rFonts w:ascii="Times New Roman" w:eastAsia="Calibri" w:hAnsi="Times New Roman" w:cs="Times New Roman"/>
      <w:sz w:val="24"/>
      <w:szCs w:val="24"/>
      <w:lang w:eastAsia="ar-SA"/>
    </w:rPr>
  </w:style>
  <w:style w:type="character" w:customStyle="1" w:styleId="BodyText3Char">
    <w:name w:val="Body Text 3 Char"/>
    <w:basedOn w:val="DefaultParagraphFont"/>
    <w:link w:val="BodyText3"/>
    <w:semiHidden/>
    <w:rsid w:val="00F9483E"/>
    <w:rPr>
      <w:rFonts w:ascii="Times New Roman" w:eastAsia="Calibri" w:hAnsi="Times New Roman" w:cs="Times New Roman"/>
      <w:sz w:val="24"/>
      <w:szCs w:val="24"/>
      <w:lang w:eastAsia="ar-SA"/>
    </w:rPr>
  </w:style>
  <w:style w:type="character" w:customStyle="1" w:styleId="Heading4Char">
    <w:name w:val="Heading 4 Char"/>
    <w:basedOn w:val="DefaultParagraphFont"/>
    <w:link w:val="Heading4"/>
    <w:rsid w:val="008801E1"/>
    <w:rPr>
      <w:rFonts w:ascii="Cambria" w:eastAsia="Times New Roman" w:hAnsi="Cambria" w:cs="Times New Roman"/>
      <w:b/>
      <w:bCs/>
      <w:i/>
      <w:iCs/>
      <w:color w:val="4F81BD"/>
    </w:rPr>
  </w:style>
  <w:style w:type="paragraph" w:styleId="Header">
    <w:name w:val="header"/>
    <w:basedOn w:val="Normal"/>
    <w:link w:val="HeaderChar"/>
    <w:uiPriority w:val="99"/>
    <w:unhideWhenUsed/>
    <w:rsid w:val="009D78AB"/>
    <w:pPr>
      <w:tabs>
        <w:tab w:val="center" w:pos="4153"/>
        <w:tab w:val="right" w:pos="8306"/>
      </w:tabs>
      <w:spacing w:after="0" w:line="240" w:lineRule="auto"/>
    </w:pPr>
  </w:style>
  <w:style w:type="character" w:customStyle="1" w:styleId="HeaderChar">
    <w:name w:val="Header Char"/>
    <w:basedOn w:val="DefaultParagraphFont"/>
    <w:link w:val="Header"/>
    <w:uiPriority w:val="99"/>
    <w:rsid w:val="009D78AB"/>
  </w:style>
  <w:style w:type="paragraph" w:styleId="Footer">
    <w:name w:val="footer"/>
    <w:basedOn w:val="Normal"/>
    <w:link w:val="FooterChar"/>
    <w:uiPriority w:val="99"/>
    <w:unhideWhenUsed/>
    <w:rsid w:val="009D78AB"/>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78AB"/>
  </w:style>
  <w:style w:type="character" w:customStyle="1" w:styleId="Heading2Char">
    <w:name w:val="Heading 2 Char"/>
    <w:basedOn w:val="DefaultParagraphFont"/>
    <w:link w:val="Heading2"/>
    <w:uiPriority w:val="9"/>
    <w:semiHidden/>
    <w:rsid w:val="007A7F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A7FF4"/>
    <w:rPr>
      <w:rFonts w:asciiTheme="majorHAnsi" w:eastAsiaTheme="majorEastAsia" w:hAnsiTheme="majorHAnsi" w:cstheme="majorBidi"/>
      <w:b/>
      <w:bCs/>
      <w:color w:val="4F81BD" w:themeColor="accent1"/>
    </w:rPr>
  </w:style>
  <w:style w:type="paragraph" w:styleId="NormalWeb">
    <w:name w:val="Normal (Web)"/>
    <w:basedOn w:val="Normal"/>
    <w:semiHidden/>
    <w:unhideWhenUsed/>
    <w:rsid w:val="007A7F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7Char">
    <w:name w:val="Heading 7 Char"/>
    <w:basedOn w:val="DefaultParagraphFont"/>
    <w:link w:val="Heading7"/>
    <w:uiPriority w:val="9"/>
    <w:rsid w:val="00B4571F"/>
    <w:rPr>
      <w:rFonts w:asciiTheme="majorHAnsi" w:eastAsiaTheme="majorEastAsia" w:hAnsiTheme="majorHAnsi" w:cstheme="majorBidi"/>
      <w:i/>
      <w:iCs/>
      <w:color w:val="404040" w:themeColor="text1" w:themeTint="BF"/>
    </w:rPr>
  </w:style>
  <w:style w:type="character" w:customStyle="1" w:styleId="hps">
    <w:name w:val="hps"/>
    <w:basedOn w:val="DefaultParagraphFont"/>
    <w:rsid w:val="00B4571F"/>
  </w:style>
</w:styles>
</file>

<file path=word/webSettings.xml><?xml version="1.0" encoding="utf-8"?>
<w:webSettings xmlns:r="http://schemas.openxmlformats.org/officeDocument/2006/relationships" xmlns:w="http://schemas.openxmlformats.org/wordprocessingml/2006/main">
  <w:divs>
    <w:div w:id="1250115120">
      <w:bodyDiv w:val="1"/>
      <w:marLeft w:val="0"/>
      <w:marRight w:val="0"/>
      <w:marTop w:val="0"/>
      <w:marBottom w:val="0"/>
      <w:divBdr>
        <w:top w:val="none" w:sz="0" w:space="0" w:color="auto"/>
        <w:left w:val="none" w:sz="0" w:space="0" w:color="auto"/>
        <w:bottom w:val="none" w:sz="0" w:space="0" w:color="auto"/>
        <w:right w:val="none" w:sz="0" w:space="0" w:color="auto"/>
      </w:divBdr>
      <w:divsChild>
        <w:div w:id="1828938487">
          <w:marLeft w:val="0"/>
          <w:marRight w:val="0"/>
          <w:marTop w:val="0"/>
          <w:marBottom w:val="0"/>
          <w:divBdr>
            <w:top w:val="none" w:sz="0" w:space="0" w:color="auto"/>
            <w:left w:val="none" w:sz="0" w:space="0" w:color="auto"/>
            <w:bottom w:val="none" w:sz="0" w:space="0" w:color="auto"/>
            <w:right w:val="none" w:sz="0" w:space="0" w:color="auto"/>
          </w:divBdr>
          <w:divsChild>
            <w:div w:id="1825925113">
              <w:marLeft w:val="0"/>
              <w:marRight w:val="0"/>
              <w:marTop w:val="0"/>
              <w:marBottom w:val="0"/>
              <w:divBdr>
                <w:top w:val="none" w:sz="0" w:space="0" w:color="auto"/>
                <w:left w:val="none" w:sz="0" w:space="0" w:color="auto"/>
                <w:bottom w:val="none" w:sz="0" w:space="0" w:color="auto"/>
                <w:right w:val="none" w:sz="0" w:space="0" w:color="auto"/>
              </w:divBdr>
              <w:divsChild>
                <w:div w:id="1049916020">
                  <w:marLeft w:val="0"/>
                  <w:marRight w:val="0"/>
                  <w:marTop w:val="0"/>
                  <w:marBottom w:val="0"/>
                  <w:divBdr>
                    <w:top w:val="none" w:sz="0" w:space="0" w:color="auto"/>
                    <w:left w:val="none" w:sz="0" w:space="0" w:color="auto"/>
                    <w:bottom w:val="none" w:sz="0" w:space="0" w:color="auto"/>
                    <w:right w:val="none" w:sz="0" w:space="0" w:color="auto"/>
                  </w:divBdr>
                  <w:divsChild>
                    <w:div w:id="1185484562">
                      <w:marLeft w:val="0"/>
                      <w:marRight w:val="0"/>
                      <w:marTop w:val="0"/>
                      <w:marBottom w:val="0"/>
                      <w:divBdr>
                        <w:top w:val="none" w:sz="0" w:space="0" w:color="auto"/>
                        <w:left w:val="none" w:sz="0" w:space="0" w:color="auto"/>
                        <w:bottom w:val="none" w:sz="0" w:space="0" w:color="auto"/>
                        <w:right w:val="none" w:sz="0" w:space="0" w:color="auto"/>
                      </w:divBdr>
                      <w:divsChild>
                        <w:div w:id="1016813899">
                          <w:marLeft w:val="0"/>
                          <w:marRight w:val="0"/>
                          <w:marTop w:val="0"/>
                          <w:marBottom w:val="0"/>
                          <w:divBdr>
                            <w:top w:val="none" w:sz="0" w:space="0" w:color="auto"/>
                            <w:left w:val="none" w:sz="0" w:space="0" w:color="auto"/>
                            <w:bottom w:val="none" w:sz="0" w:space="0" w:color="auto"/>
                            <w:right w:val="none" w:sz="0" w:space="0" w:color="auto"/>
                          </w:divBdr>
                          <w:divsChild>
                            <w:div w:id="1267272272">
                              <w:marLeft w:val="0"/>
                              <w:marRight w:val="0"/>
                              <w:marTop w:val="0"/>
                              <w:marBottom w:val="0"/>
                              <w:divBdr>
                                <w:top w:val="none" w:sz="0" w:space="0" w:color="auto"/>
                                <w:left w:val="none" w:sz="0" w:space="0" w:color="auto"/>
                                <w:bottom w:val="none" w:sz="0" w:space="0" w:color="auto"/>
                                <w:right w:val="none" w:sz="0" w:space="0" w:color="auto"/>
                              </w:divBdr>
                              <w:divsChild>
                                <w:div w:id="1859924107">
                                  <w:marLeft w:val="0"/>
                                  <w:marRight w:val="0"/>
                                  <w:marTop w:val="0"/>
                                  <w:marBottom w:val="0"/>
                                  <w:divBdr>
                                    <w:top w:val="none" w:sz="0" w:space="0" w:color="auto"/>
                                    <w:left w:val="none" w:sz="0" w:space="0" w:color="auto"/>
                                    <w:bottom w:val="none" w:sz="0" w:space="0" w:color="auto"/>
                                    <w:right w:val="none" w:sz="0" w:space="0" w:color="auto"/>
                                  </w:divBdr>
                                  <w:divsChild>
                                    <w:div w:id="319165050">
                                      <w:marLeft w:val="0"/>
                                      <w:marRight w:val="0"/>
                                      <w:marTop w:val="0"/>
                                      <w:marBottom w:val="0"/>
                                      <w:divBdr>
                                        <w:top w:val="single" w:sz="6" w:space="0" w:color="F5F5F5"/>
                                        <w:left w:val="single" w:sz="6" w:space="0" w:color="F5F5F5"/>
                                        <w:bottom w:val="single" w:sz="6" w:space="0" w:color="F5F5F5"/>
                                        <w:right w:val="single" w:sz="6" w:space="0" w:color="F5F5F5"/>
                                      </w:divBdr>
                                      <w:divsChild>
                                        <w:div w:id="1085495676">
                                          <w:marLeft w:val="0"/>
                                          <w:marRight w:val="0"/>
                                          <w:marTop w:val="0"/>
                                          <w:marBottom w:val="0"/>
                                          <w:divBdr>
                                            <w:top w:val="none" w:sz="0" w:space="0" w:color="auto"/>
                                            <w:left w:val="none" w:sz="0" w:space="0" w:color="auto"/>
                                            <w:bottom w:val="none" w:sz="0" w:space="0" w:color="auto"/>
                                            <w:right w:val="none" w:sz="0" w:space="0" w:color="auto"/>
                                          </w:divBdr>
                                          <w:divsChild>
                                            <w:div w:id="107027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Office_Excel_Worksheet20.xlsx"/></Relationships>
</file>

<file path=word/charts/_rels/chart21.xml.rels><?xml version="1.0" encoding="UTF-8" standalone="yes"?>
<Relationships xmlns="http://schemas.openxmlformats.org/package/2006/relationships"><Relationship Id="rId2" Type="http://schemas.openxmlformats.org/officeDocument/2006/relationships/package" Target="../embeddings/Microsoft_Office_Excel_Worksheet21.xlsx"/><Relationship Id="rId1" Type="http://schemas.openxmlformats.org/officeDocument/2006/relationships/themeOverride" Target="../theme/themeOverride1.xml"/></Relationships>
</file>

<file path=word/charts/_rels/chart22.xml.rels><?xml version="1.0" encoding="UTF-8" standalone="yes"?>
<Relationships xmlns="http://schemas.openxmlformats.org/package/2006/relationships"><Relationship Id="rId2" Type="http://schemas.openxmlformats.org/officeDocument/2006/relationships/package" Target="../embeddings/Microsoft_Office_Excel_Worksheet2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256617549429476"/>
          <c:y val="3.1293049895804448E-2"/>
          <c:w val="0.82987551867221065"/>
          <c:h val="0.67434210526315785"/>
        </c:manualLayout>
      </c:layout>
      <c:lineChart>
        <c:grouping val="standard"/>
        <c:ser>
          <c:idx val="0"/>
          <c:order val="0"/>
          <c:tx>
            <c:strRef>
              <c:f>Sheet1!$B$57</c:f>
              <c:strCache>
                <c:ptCount val="1"/>
                <c:pt idx="0">
                  <c:v>Palestinian Territory</c:v>
                </c:pt>
              </c:strCache>
            </c:strRef>
          </c:tx>
          <c:spPr>
            <a:ln>
              <a:prstDash val="sysDot"/>
            </a:ln>
          </c:spPr>
          <c:marker>
            <c:symbol val="none"/>
          </c:marker>
          <c:dLbls>
            <c:dLbl>
              <c:idx val="0"/>
              <c:layout>
                <c:manualLayout>
                  <c:x val="-4.8780487804880368E-2"/>
                  <c:y val="-3.3970276008492596E-2"/>
                </c:manualLayout>
              </c:layout>
              <c:showVal val="1"/>
            </c:dLbl>
            <c:dLbl>
              <c:idx val="7"/>
              <c:layout>
                <c:manualLayout>
                  <c:x val="-7.317073170731711E-2"/>
                  <c:y val="-2.5477707006371048E-2"/>
                </c:manualLayout>
              </c:layout>
              <c:showVal val="1"/>
            </c:dLbl>
            <c:delete val="1"/>
          </c:dLbls>
          <c:cat>
            <c:numRef>
              <c:f>Sheet1!$A$58:$A$65</c:f>
              <c:numCache>
                <c:formatCode>General</c:formatCode>
                <c:ptCount val="8"/>
                <c:pt idx="0">
                  <c:v>2004</c:v>
                </c:pt>
                <c:pt idx="1">
                  <c:v>2005</c:v>
                </c:pt>
                <c:pt idx="2">
                  <c:v>2006</c:v>
                </c:pt>
                <c:pt idx="3">
                  <c:v>2007</c:v>
                </c:pt>
                <c:pt idx="4">
                  <c:v>2008</c:v>
                </c:pt>
                <c:pt idx="5">
                  <c:v>2009</c:v>
                </c:pt>
                <c:pt idx="6">
                  <c:v>2010</c:v>
                </c:pt>
                <c:pt idx="7">
                  <c:v>2011</c:v>
                </c:pt>
              </c:numCache>
            </c:numRef>
          </c:cat>
          <c:val>
            <c:numRef>
              <c:f>Sheet1!$B$58:$B$65</c:f>
              <c:numCache>
                <c:formatCode>#,##0.0</c:formatCode>
                <c:ptCount val="8"/>
                <c:pt idx="0">
                  <c:v>4198.4000000000005</c:v>
                </c:pt>
                <c:pt idx="1">
                  <c:v>4559.5</c:v>
                </c:pt>
                <c:pt idx="2">
                  <c:v>4322.2999999999993</c:v>
                </c:pt>
                <c:pt idx="3">
                  <c:v>4554.1000000000004</c:v>
                </c:pt>
                <c:pt idx="4">
                  <c:v>4878.2999999999993</c:v>
                </c:pt>
                <c:pt idx="5">
                  <c:v>5239.3</c:v>
                </c:pt>
                <c:pt idx="6">
                  <c:v>5754.3</c:v>
                </c:pt>
                <c:pt idx="7">
                  <c:v>6323</c:v>
                </c:pt>
              </c:numCache>
            </c:numRef>
          </c:val>
        </c:ser>
        <c:ser>
          <c:idx val="1"/>
          <c:order val="1"/>
          <c:tx>
            <c:strRef>
              <c:f>Sheet1!$C$57</c:f>
              <c:strCache>
                <c:ptCount val="1"/>
                <c:pt idx="0">
                  <c:v>West Bank</c:v>
                </c:pt>
              </c:strCache>
            </c:strRef>
          </c:tx>
          <c:marker>
            <c:symbol val="none"/>
          </c:marker>
          <c:dLbls>
            <c:dLbl>
              <c:idx val="0"/>
              <c:layout>
                <c:manualLayout>
                  <c:x val="-4.8780487804880368E-2"/>
                  <c:y val="-3.8216560509554291E-2"/>
                </c:manualLayout>
              </c:layout>
              <c:showVal val="1"/>
            </c:dLbl>
            <c:dLbl>
              <c:idx val="7"/>
              <c:layout>
                <c:manualLayout>
                  <c:x val="-4.8780487804880368E-2"/>
                  <c:y val="-3.8216560509554291E-2"/>
                </c:manualLayout>
              </c:layout>
              <c:showVal val="1"/>
            </c:dLbl>
            <c:delete val="1"/>
          </c:dLbls>
          <c:cat>
            <c:numRef>
              <c:f>Sheet1!$A$58:$A$65</c:f>
              <c:numCache>
                <c:formatCode>General</c:formatCode>
                <c:ptCount val="8"/>
                <c:pt idx="0">
                  <c:v>2004</c:v>
                </c:pt>
                <c:pt idx="1">
                  <c:v>2005</c:v>
                </c:pt>
                <c:pt idx="2">
                  <c:v>2006</c:v>
                </c:pt>
                <c:pt idx="3">
                  <c:v>2007</c:v>
                </c:pt>
                <c:pt idx="4">
                  <c:v>2008</c:v>
                </c:pt>
                <c:pt idx="5">
                  <c:v>2009</c:v>
                </c:pt>
                <c:pt idx="6">
                  <c:v>2010</c:v>
                </c:pt>
                <c:pt idx="7">
                  <c:v>2011</c:v>
                </c:pt>
              </c:numCache>
            </c:numRef>
          </c:cat>
          <c:val>
            <c:numRef>
              <c:f>Sheet1!$C$58:$C$65</c:f>
              <c:numCache>
                <c:formatCode>#,##0.0</c:formatCode>
                <c:ptCount val="8"/>
                <c:pt idx="0">
                  <c:v>2807.4</c:v>
                </c:pt>
                <c:pt idx="1">
                  <c:v>2876.7</c:v>
                </c:pt>
                <c:pt idx="2">
                  <c:v>2977.7</c:v>
                </c:pt>
                <c:pt idx="3">
                  <c:v>3317.2</c:v>
                </c:pt>
                <c:pt idx="4">
                  <c:v>3716.7</c:v>
                </c:pt>
                <c:pt idx="5">
                  <c:v>3979.6</c:v>
                </c:pt>
                <c:pt idx="6">
                  <c:v>4249.5</c:v>
                </c:pt>
                <c:pt idx="7">
                  <c:v>4472.4000000000005</c:v>
                </c:pt>
              </c:numCache>
            </c:numRef>
          </c:val>
        </c:ser>
        <c:ser>
          <c:idx val="2"/>
          <c:order val="2"/>
          <c:tx>
            <c:strRef>
              <c:f>Sheet1!$D$57</c:f>
              <c:strCache>
                <c:ptCount val="1"/>
                <c:pt idx="0">
                  <c:v>Gaza Strip</c:v>
                </c:pt>
              </c:strCache>
            </c:strRef>
          </c:tx>
          <c:spPr>
            <a:ln>
              <a:prstDash val="dashDot"/>
            </a:ln>
          </c:spPr>
          <c:marker>
            <c:symbol val="none"/>
          </c:marker>
          <c:dLbls>
            <c:dLbl>
              <c:idx val="0"/>
              <c:showVal val="1"/>
            </c:dLbl>
            <c:dLbl>
              <c:idx val="7"/>
              <c:layout>
                <c:manualLayout>
                  <c:x val="-3.2520325203252036E-2"/>
                  <c:y val="5.5201698513800412E-2"/>
                </c:manualLayout>
              </c:layout>
              <c:showVal val="1"/>
            </c:dLbl>
            <c:delete val="1"/>
          </c:dLbls>
          <c:cat>
            <c:numRef>
              <c:f>Sheet1!$A$58:$A$65</c:f>
              <c:numCache>
                <c:formatCode>General</c:formatCode>
                <c:ptCount val="8"/>
                <c:pt idx="0">
                  <c:v>2004</c:v>
                </c:pt>
                <c:pt idx="1">
                  <c:v>2005</c:v>
                </c:pt>
                <c:pt idx="2">
                  <c:v>2006</c:v>
                </c:pt>
                <c:pt idx="3">
                  <c:v>2007</c:v>
                </c:pt>
                <c:pt idx="4">
                  <c:v>2008</c:v>
                </c:pt>
                <c:pt idx="5">
                  <c:v>2009</c:v>
                </c:pt>
                <c:pt idx="6">
                  <c:v>2010</c:v>
                </c:pt>
                <c:pt idx="7">
                  <c:v>2011</c:v>
                </c:pt>
              </c:numCache>
            </c:numRef>
          </c:cat>
          <c:val>
            <c:numRef>
              <c:f>Sheet1!$D$58:$D$65</c:f>
              <c:numCache>
                <c:formatCode>#,##0.0</c:formatCode>
                <c:ptCount val="8"/>
                <c:pt idx="0">
                  <c:v>1391</c:v>
                </c:pt>
                <c:pt idx="1">
                  <c:v>1682.8</c:v>
                </c:pt>
                <c:pt idx="2">
                  <c:v>1344.6</c:v>
                </c:pt>
                <c:pt idx="3">
                  <c:v>1236.9000000000001</c:v>
                </c:pt>
                <c:pt idx="4">
                  <c:v>1161.5999999999999</c:v>
                </c:pt>
                <c:pt idx="5">
                  <c:v>1259.7</c:v>
                </c:pt>
                <c:pt idx="6">
                  <c:v>1504.8</c:v>
                </c:pt>
                <c:pt idx="7">
                  <c:v>1850.6</c:v>
                </c:pt>
              </c:numCache>
            </c:numRef>
          </c:val>
        </c:ser>
        <c:marker val="1"/>
        <c:axId val="53862784"/>
        <c:axId val="53866496"/>
      </c:lineChart>
      <c:catAx>
        <c:axId val="53862784"/>
        <c:scaling>
          <c:orientation val="minMax"/>
        </c:scaling>
        <c:axPos val="b"/>
        <c:majorGridlines/>
        <c:title>
          <c:tx>
            <c:rich>
              <a:bodyPr/>
              <a:lstStyle/>
              <a:p>
                <a:pPr>
                  <a:defRPr/>
                </a:pPr>
                <a:r>
                  <a:rPr lang="en-US"/>
                  <a:t>Year</a:t>
                </a:r>
              </a:p>
            </c:rich>
          </c:tx>
          <c:layout>
            <c:manualLayout>
              <c:xMode val="edge"/>
              <c:yMode val="edge"/>
              <c:x val="0.48132780082989879"/>
              <c:y val="0.82565789473684215"/>
            </c:manualLayout>
          </c:layout>
        </c:title>
        <c:numFmt formatCode="General" sourceLinked="1"/>
        <c:tickLblPos val="nextTo"/>
        <c:txPr>
          <a:bodyPr rot="0" vert="horz"/>
          <a:lstStyle/>
          <a:p>
            <a:pPr>
              <a:defRPr/>
            </a:pPr>
            <a:endParaRPr lang="ar-SA"/>
          </a:p>
        </c:txPr>
        <c:crossAx val="53866496"/>
        <c:crosses val="autoZero"/>
        <c:auto val="1"/>
        <c:lblAlgn val="ctr"/>
        <c:lblOffset val="100"/>
        <c:tickLblSkip val="1"/>
        <c:tickMarkSkip val="1"/>
      </c:catAx>
      <c:valAx>
        <c:axId val="53866496"/>
        <c:scaling>
          <c:orientation val="minMax"/>
        </c:scaling>
        <c:axPos val="l"/>
        <c:majorGridlines/>
        <c:title>
          <c:tx>
            <c:rich>
              <a:bodyPr/>
              <a:lstStyle/>
              <a:p>
                <a:pPr>
                  <a:defRPr/>
                </a:pPr>
                <a:r>
                  <a:rPr lang="en-US"/>
                  <a:t>GDP       </a:t>
                </a:r>
              </a:p>
            </c:rich>
          </c:tx>
          <c:layout>
            <c:manualLayout>
              <c:xMode val="edge"/>
              <c:yMode val="edge"/>
              <c:x val="6.2240663900414933E-3"/>
              <c:y val="0.37828947368423144"/>
            </c:manualLayout>
          </c:layout>
        </c:title>
        <c:numFmt formatCode="#,##0" sourceLinked="0"/>
        <c:tickLblPos val="nextTo"/>
        <c:txPr>
          <a:bodyPr rot="0" vert="horz"/>
          <a:lstStyle/>
          <a:p>
            <a:pPr>
              <a:defRPr/>
            </a:pPr>
            <a:endParaRPr lang="ar-SA"/>
          </a:p>
        </c:txPr>
        <c:crossAx val="53862784"/>
        <c:crosses val="autoZero"/>
        <c:crossBetween val="between"/>
      </c:valAx>
    </c:plotArea>
    <c:legend>
      <c:legendPos val="r"/>
      <c:layout>
        <c:manualLayout>
          <c:xMode val="edge"/>
          <c:yMode val="edge"/>
          <c:x val="8.0912863070539728E-2"/>
          <c:y val="0.89802631578947878"/>
          <c:w val="0.89419087136930997"/>
          <c:h val="9.210526315789884E-2"/>
        </c:manualLayout>
      </c:layout>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1125" b="1" i="0" u="none" strike="noStrike" baseline="0">
                <a:solidFill>
                  <a:srgbClr val="000000"/>
                </a:solidFill>
                <a:latin typeface="Simplified Arabic"/>
                <a:ea typeface="Simplified Arabic"/>
                <a:cs typeface="Simplified Arabic"/>
              </a:defRPr>
            </a:pPr>
            <a:r>
              <a:rPr lang="ar-SA"/>
              <a:t> </a:t>
            </a:r>
          </a:p>
        </c:rich>
      </c:tx>
      <c:layout>
        <c:manualLayout>
          <c:xMode val="edge"/>
          <c:yMode val="edge"/>
          <c:x val="0.4953915494169786"/>
          <c:y val="1.9083927640359186E-2"/>
        </c:manualLayout>
      </c:layout>
      <c:spPr>
        <a:noFill/>
        <a:ln w="25399">
          <a:noFill/>
        </a:ln>
      </c:spPr>
    </c:title>
    <c:plotArea>
      <c:layout>
        <c:manualLayout>
          <c:layoutTarget val="inner"/>
          <c:xMode val="edge"/>
          <c:yMode val="edge"/>
          <c:x val="0.20046082949308755"/>
          <c:y val="0.10291003098296926"/>
          <c:w val="0.7788018433180206"/>
          <c:h val="0.57436544116193256"/>
        </c:manualLayout>
      </c:layout>
      <c:areaChart>
        <c:grouping val="standard"/>
        <c:ser>
          <c:idx val="0"/>
          <c:order val="0"/>
          <c:tx>
            <c:strRef>
              <c:f>Sheet1!$F$1</c:f>
              <c:strCache>
                <c:ptCount val="1"/>
                <c:pt idx="0">
                  <c:v>Index</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layout>
                <c:manualLayout>
                  <c:x val="-3.7483266398930092E-2"/>
                  <c:y val="-0.26492942453854507"/>
                </c:manualLayout>
              </c:layout>
              <c:showVal val="1"/>
            </c:dLbl>
            <c:showVal val="1"/>
          </c:dLbls>
          <c:cat>
            <c:numRef>
              <c:f>Sheet1!$E$2:$E$9</c:f>
              <c:numCache>
                <c:formatCode>General</c:formatCode>
                <c:ptCount val="8"/>
                <c:pt idx="0">
                  <c:v>2004</c:v>
                </c:pt>
                <c:pt idx="1">
                  <c:v>2005</c:v>
                </c:pt>
                <c:pt idx="2">
                  <c:v>2006</c:v>
                </c:pt>
                <c:pt idx="3">
                  <c:v>2007</c:v>
                </c:pt>
                <c:pt idx="4">
                  <c:v>2008</c:v>
                </c:pt>
                <c:pt idx="5">
                  <c:v>2009</c:v>
                </c:pt>
                <c:pt idx="6">
                  <c:v>2010</c:v>
                </c:pt>
                <c:pt idx="7">
                  <c:v>2011</c:v>
                </c:pt>
              </c:numCache>
            </c:numRef>
          </c:cat>
          <c:val>
            <c:numRef>
              <c:f>Sheet1!$F$2:$F$9</c:f>
              <c:numCache>
                <c:formatCode>General</c:formatCode>
                <c:ptCount val="8"/>
                <c:pt idx="0">
                  <c:v>100</c:v>
                </c:pt>
                <c:pt idx="1">
                  <c:v>104.11</c:v>
                </c:pt>
                <c:pt idx="2">
                  <c:v>108.11</c:v>
                </c:pt>
                <c:pt idx="3">
                  <c:v>110.11999999999999</c:v>
                </c:pt>
                <c:pt idx="4">
                  <c:v>121.01</c:v>
                </c:pt>
                <c:pt idx="5">
                  <c:v>124.34</c:v>
                </c:pt>
                <c:pt idx="6">
                  <c:v>128</c:v>
                </c:pt>
                <c:pt idx="7">
                  <c:v>132.69999999999999</c:v>
                </c:pt>
              </c:numCache>
            </c:numRef>
          </c:val>
        </c:ser>
        <c:axId val="89510656"/>
        <c:axId val="89512576"/>
      </c:areaChart>
      <c:catAx>
        <c:axId val="89510656"/>
        <c:scaling>
          <c:orientation val="minMax"/>
        </c:scaling>
        <c:axPos val="b"/>
        <c:title>
          <c:tx>
            <c:rich>
              <a:bodyPr/>
              <a:lstStyle/>
              <a:p>
                <a:pPr>
                  <a:defRPr sz="900" b="1" i="0" u="none" strike="noStrike" baseline="0">
                    <a:solidFill>
                      <a:srgbClr val="000000"/>
                    </a:solidFill>
                    <a:latin typeface="Simplified Arabic"/>
                    <a:ea typeface="Simplified Arabic"/>
                    <a:cs typeface="+mn-cs"/>
                  </a:defRPr>
                </a:pPr>
                <a:r>
                  <a:rPr lang="en-US" sz="900">
                    <a:cs typeface="+mn-cs"/>
                  </a:rPr>
                  <a:t>Year</a:t>
                </a:r>
                <a:endParaRPr lang="ar-SA" sz="900">
                  <a:cs typeface="+mn-cs"/>
                </a:endParaRPr>
              </a:p>
            </c:rich>
          </c:tx>
          <c:layout>
            <c:manualLayout>
              <c:xMode val="edge"/>
              <c:yMode val="edge"/>
              <c:x val="0.49147132223227974"/>
              <c:y val="0.86696713415873561"/>
            </c:manualLayout>
          </c:layout>
          <c:spPr>
            <a:noFill/>
            <a:ln w="25399">
              <a:noFill/>
            </a:ln>
          </c:spPr>
        </c:title>
        <c:numFmt formatCode="General" sourceLinked="1"/>
        <c:tickLblPos val="nextTo"/>
        <c:txPr>
          <a:bodyPr rot="0" vert="horz"/>
          <a:lstStyle/>
          <a:p>
            <a:pPr>
              <a:defRPr/>
            </a:pPr>
            <a:endParaRPr lang="ar-SA"/>
          </a:p>
        </c:txPr>
        <c:crossAx val="89512576"/>
        <c:crosses val="autoZero"/>
        <c:auto val="1"/>
        <c:lblAlgn val="ctr"/>
        <c:lblOffset val="100"/>
        <c:tickLblSkip val="1"/>
        <c:tickMarkSkip val="1"/>
      </c:catAx>
      <c:valAx>
        <c:axId val="89512576"/>
        <c:scaling>
          <c:orientation val="minMax"/>
          <c:max val="135"/>
          <c:min val="100"/>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Simplified Arabic"/>
                    <a:ea typeface="Simplified Arabic"/>
                    <a:cs typeface="+mn-cs"/>
                  </a:defRPr>
                </a:pPr>
                <a:r>
                  <a:rPr lang="en-US" sz="900">
                    <a:cs typeface="+mn-cs"/>
                  </a:rPr>
                  <a:t>INDEX</a:t>
                </a:r>
                <a:endParaRPr lang="ar-SA" sz="900">
                  <a:cs typeface="+mn-cs"/>
                </a:endParaRPr>
              </a:p>
            </c:rich>
          </c:tx>
          <c:layout>
            <c:manualLayout>
              <c:xMode val="edge"/>
              <c:yMode val="edge"/>
              <c:x val="4.8333978744460319E-2"/>
              <c:y val="0.2900759122281433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ar-SA"/>
          </a:p>
        </c:txPr>
        <c:crossAx val="89510656"/>
        <c:crosses val="autoZero"/>
        <c:crossBetween val="midCat"/>
        <c:majorUnit val="5"/>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lgn="just">
        <a:defRPr sz="950" b="0" i="0" u="none" strike="noStrike" baseline="0">
          <a:solidFill>
            <a:srgbClr val="000000"/>
          </a:solidFill>
          <a:latin typeface="Simplified Arabic"/>
          <a:ea typeface="Simplified Arabic"/>
          <a:cs typeface="Simplified Arabic"/>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7171717171717807"/>
          <c:y val="0.10810810810810811"/>
          <c:w val="0.79797979797981633"/>
          <c:h val="0.57142857142859416"/>
        </c:manualLayout>
      </c:layout>
      <c:barChart>
        <c:barDir val="col"/>
        <c:grouping val="clustered"/>
        <c:ser>
          <c:idx val="0"/>
          <c:order val="0"/>
          <c:tx>
            <c:strRef>
              <c:f>Sheet2!$A$2</c:f>
              <c:strCache>
                <c:ptCount val="1"/>
                <c:pt idx="0">
                  <c:v>2009</c:v>
                </c:pt>
              </c:strCache>
            </c:strRef>
          </c:tx>
          <c:dLbls>
            <c:showVal val="1"/>
          </c:dLbls>
          <c:cat>
            <c:strRef>
              <c:f>Sheet2!$B$1:$C$1</c:f>
              <c:strCache>
                <c:ptCount val="2"/>
                <c:pt idx="0">
                  <c:v>poverty</c:v>
                </c:pt>
                <c:pt idx="1">
                  <c:v>                deep poverty</c:v>
                </c:pt>
              </c:strCache>
            </c:strRef>
          </c:cat>
          <c:val>
            <c:numRef>
              <c:f>Sheet2!$B$2:$C$2</c:f>
              <c:numCache>
                <c:formatCode>General</c:formatCode>
                <c:ptCount val="2"/>
                <c:pt idx="0">
                  <c:v>19.399999999999999</c:v>
                </c:pt>
                <c:pt idx="1">
                  <c:v>9.1</c:v>
                </c:pt>
              </c:numCache>
            </c:numRef>
          </c:val>
        </c:ser>
        <c:ser>
          <c:idx val="1"/>
          <c:order val="1"/>
          <c:tx>
            <c:strRef>
              <c:f>Sheet2!$A$3</c:f>
              <c:strCache>
                <c:ptCount val="1"/>
                <c:pt idx="0">
                  <c:v>2010</c:v>
                </c:pt>
              </c:strCache>
            </c:strRef>
          </c:tx>
          <c:dLbls>
            <c:showVal val="1"/>
          </c:dLbls>
          <c:cat>
            <c:strRef>
              <c:f>Sheet2!$B$1:$C$1</c:f>
              <c:strCache>
                <c:ptCount val="2"/>
                <c:pt idx="0">
                  <c:v>poverty</c:v>
                </c:pt>
                <c:pt idx="1">
                  <c:v>                deep poverty</c:v>
                </c:pt>
              </c:strCache>
            </c:strRef>
          </c:cat>
          <c:val>
            <c:numRef>
              <c:f>Sheet2!$B$3:$C$3</c:f>
              <c:numCache>
                <c:formatCode>General</c:formatCode>
                <c:ptCount val="2"/>
                <c:pt idx="0">
                  <c:v>18.3</c:v>
                </c:pt>
                <c:pt idx="1">
                  <c:v>8.8000000000000007</c:v>
                </c:pt>
              </c:numCache>
            </c:numRef>
          </c:val>
        </c:ser>
        <c:axId val="89350144"/>
        <c:axId val="89351680"/>
      </c:barChart>
      <c:catAx>
        <c:axId val="89350144"/>
        <c:scaling>
          <c:orientation val="minMax"/>
        </c:scaling>
        <c:axPos val="b"/>
        <c:numFmt formatCode="General" sourceLinked="1"/>
        <c:tickLblPos val="nextTo"/>
        <c:txPr>
          <a:bodyPr rot="0" vert="horz"/>
          <a:lstStyle/>
          <a:p>
            <a:pPr>
              <a:defRPr/>
            </a:pPr>
            <a:endParaRPr lang="ar-SA"/>
          </a:p>
        </c:txPr>
        <c:crossAx val="89351680"/>
        <c:crosses val="autoZero"/>
        <c:auto val="1"/>
        <c:lblAlgn val="ctr"/>
        <c:lblOffset val="100"/>
        <c:tickLblSkip val="1"/>
        <c:tickMarkSkip val="1"/>
      </c:catAx>
      <c:valAx>
        <c:axId val="89351680"/>
        <c:scaling>
          <c:orientation val="minMax"/>
        </c:scaling>
        <c:axPos val="l"/>
        <c:majorGridlines/>
        <c:title>
          <c:tx>
            <c:rich>
              <a:bodyPr/>
              <a:lstStyle/>
              <a:p>
                <a:pPr>
                  <a:defRPr/>
                </a:pPr>
                <a:r>
                  <a:rPr lang="en-US"/>
                  <a:t>Poverty rate</a:t>
                </a:r>
              </a:p>
            </c:rich>
          </c:tx>
          <c:layout>
            <c:manualLayout>
              <c:xMode val="edge"/>
              <c:yMode val="edge"/>
              <c:x val="1.3468013468013467E-2"/>
              <c:y val="0.25096525096525096"/>
            </c:manualLayout>
          </c:layout>
        </c:title>
        <c:numFmt formatCode="General" sourceLinked="1"/>
        <c:tickLblPos val="nextTo"/>
        <c:txPr>
          <a:bodyPr rot="0" vert="horz"/>
          <a:lstStyle/>
          <a:p>
            <a:pPr>
              <a:defRPr/>
            </a:pPr>
            <a:endParaRPr lang="ar-SA"/>
          </a:p>
        </c:txPr>
        <c:crossAx val="89350144"/>
        <c:crosses val="autoZero"/>
        <c:crossBetween val="between"/>
      </c:valAx>
    </c:plotArea>
    <c:legend>
      <c:legendPos val="r"/>
      <c:layout>
        <c:manualLayout>
          <c:xMode val="edge"/>
          <c:yMode val="edge"/>
          <c:x val="0.32713671377397102"/>
          <c:y val="0.82723045740279011"/>
          <c:w val="0.47474747474747481"/>
          <c:h val="9.2664092664098099E-2"/>
        </c:manualLayout>
      </c:layout>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8874172185431082"/>
          <c:y val="0.10332103321033212"/>
          <c:w val="0.7814569536423841"/>
          <c:h val="0.56826568265682664"/>
        </c:manualLayout>
      </c:layout>
      <c:barChart>
        <c:barDir val="col"/>
        <c:grouping val="clustered"/>
        <c:ser>
          <c:idx val="0"/>
          <c:order val="0"/>
          <c:tx>
            <c:strRef>
              <c:f>Sheet2!$A$5</c:f>
              <c:strCache>
                <c:ptCount val="1"/>
                <c:pt idx="0">
                  <c:v>2009</c:v>
                </c:pt>
              </c:strCache>
            </c:strRef>
          </c:tx>
          <c:dLbls>
            <c:showVal val="1"/>
          </c:dLbls>
          <c:cat>
            <c:strRef>
              <c:f>Sheet2!$B$4:$C$4</c:f>
              <c:strCache>
                <c:ptCount val="2"/>
                <c:pt idx="0">
                  <c:v>Poverty</c:v>
                </c:pt>
                <c:pt idx="1">
                  <c:v> deep poverty</c:v>
                </c:pt>
              </c:strCache>
            </c:strRef>
          </c:cat>
          <c:val>
            <c:numRef>
              <c:f>Sheet2!$B$5:$C$5</c:f>
              <c:numCache>
                <c:formatCode>General</c:formatCode>
                <c:ptCount val="2"/>
                <c:pt idx="0">
                  <c:v>38.300000000000004</c:v>
                </c:pt>
                <c:pt idx="1">
                  <c:v>21.9</c:v>
                </c:pt>
              </c:numCache>
            </c:numRef>
          </c:val>
        </c:ser>
        <c:ser>
          <c:idx val="1"/>
          <c:order val="1"/>
          <c:tx>
            <c:strRef>
              <c:f>Sheet2!$A$6</c:f>
              <c:strCache>
                <c:ptCount val="1"/>
                <c:pt idx="0">
                  <c:v>2010</c:v>
                </c:pt>
              </c:strCache>
            </c:strRef>
          </c:tx>
          <c:dLbls>
            <c:numFmt formatCode="0.0" sourceLinked="0"/>
            <c:showVal val="1"/>
          </c:dLbls>
          <c:cat>
            <c:strRef>
              <c:f>Sheet2!$B$4:$C$4</c:f>
              <c:strCache>
                <c:ptCount val="2"/>
                <c:pt idx="0">
                  <c:v>Poverty</c:v>
                </c:pt>
                <c:pt idx="1">
                  <c:v> deep poverty</c:v>
                </c:pt>
              </c:strCache>
            </c:strRef>
          </c:cat>
          <c:val>
            <c:numRef>
              <c:f>Sheet2!$B$6:$C$6</c:f>
              <c:numCache>
                <c:formatCode>General</c:formatCode>
                <c:ptCount val="2"/>
                <c:pt idx="0">
                  <c:v>38</c:v>
                </c:pt>
                <c:pt idx="1">
                  <c:v>23</c:v>
                </c:pt>
              </c:numCache>
            </c:numRef>
          </c:val>
        </c:ser>
        <c:axId val="89639552"/>
        <c:axId val="89694592"/>
      </c:barChart>
      <c:catAx>
        <c:axId val="89639552"/>
        <c:scaling>
          <c:orientation val="minMax"/>
        </c:scaling>
        <c:axPos val="b"/>
        <c:numFmt formatCode="General" sourceLinked="1"/>
        <c:tickLblPos val="nextTo"/>
        <c:txPr>
          <a:bodyPr rot="0" vert="horz"/>
          <a:lstStyle/>
          <a:p>
            <a:pPr>
              <a:defRPr/>
            </a:pPr>
            <a:endParaRPr lang="ar-SA"/>
          </a:p>
        </c:txPr>
        <c:crossAx val="89694592"/>
        <c:crosses val="autoZero"/>
        <c:auto val="1"/>
        <c:lblAlgn val="ctr"/>
        <c:lblOffset val="100"/>
        <c:tickLblSkip val="1"/>
        <c:tickMarkSkip val="1"/>
      </c:catAx>
      <c:valAx>
        <c:axId val="89694592"/>
        <c:scaling>
          <c:orientation val="minMax"/>
        </c:scaling>
        <c:axPos val="l"/>
        <c:majorGridlines/>
        <c:title>
          <c:tx>
            <c:rich>
              <a:bodyPr/>
              <a:lstStyle/>
              <a:p>
                <a:pPr>
                  <a:defRPr/>
                </a:pPr>
                <a:r>
                  <a:rPr lang="en-US"/>
                  <a:t>Poverty rate</a:t>
                </a:r>
              </a:p>
            </c:rich>
          </c:tx>
          <c:layout>
            <c:manualLayout>
              <c:xMode val="edge"/>
              <c:yMode val="edge"/>
              <c:x val="3.6423841059602655E-2"/>
              <c:y val="0.2546125461254613"/>
            </c:manualLayout>
          </c:layout>
        </c:title>
        <c:numFmt formatCode="General" sourceLinked="1"/>
        <c:tickLblPos val="nextTo"/>
        <c:txPr>
          <a:bodyPr rot="0" vert="horz"/>
          <a:lstStyle/>
          <a:p>
            <a:pPr>
              <a:defRPr/>
            </a:pPr>
            <a:endParaRPr lang="ar-SA"/>
          </a:p>
        </c:txPr>
        <c:crossAx val="89639552"/>
        <c:crosses val="autoZero"/>
        <c:crossBetween val="between"/>
      </c:valAx>
    </c:plotArea>
    <c:legend>
      <c:legendPos val="b"/>
      <c:layout>
        <c:manualLayout>
          <c:xMode val="edge"/>
          <c:yMode val="edge"/>
          <c:x val="0.29801332525742041"/>
          <c:y val="0.83552404703860461"/>
          <c:w val="0.42384105960265783"/>
          <c:h val="8.1180811808116482E-2"/>
        </c:manualLayout>
      </c:layout>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7839862609766374"/>
          <c:y val="9.2461389694709212E-2"/>
          <c:w val="0.76196234729919265"/>
          <c:h val="0.75638476769353358"/>
        </c:manualLayout>
      </c:layout>
      <c:lineChart>
        <c:grouping val="standard"/>
        <c:ser>
          <c:idx val="0"/>
          <c:order val="0"/>
          <c:tx>
            <c:strRef>
              <c:f>Sheet1!$M$8</c:f>
              <c:strCache>
                <c:ptCount val="1"/>
                <c:pt idx="0">
                  <c:v>تعويضات العاملين</c:v>
                </c:pt>
              </c:strCache>
            </c:strRef>
          </c:tx>
          <c:marker>
            <c:symbol val="none"/>
          </c:marker>
          <c:dLbls>
            <c:dLbl>
              <c:idx val="0"/>
              <c:layout>
                <c:manualLayout>
                  <c:x val="-5.2904453573659076E-2"/>
                  <c:y val="-5.6456818495773956E-2"/>
                </c:manualLayout>
              </c:layout>
              <c:dLblPos val="r"/>
              <c:showVal val="1"/>
            </c:dLbl>
            <c:dLbl>
              <c:idx val="7"/>
              <c:showVal val="1"/>
            </c:dLbl>
            <c:delete val="1"/>
          </c:dLbls>
          <c:cat>
            <c:numRef>
              <c:f>Sheet1!$N$9:$N$16</c:f>
              <c:numCache>
                <c:formatCode>General</c:formatCode>
                <c:ptCount val="8"/>
                <c:pt idx="0">
                  <c:v>2004</c:v>
                </c:pt>
                <c:pt idx="1">
                  <c:v>2005</c:v>
                </c:pt>
                <c:pt idx="2">
                  <c:v>2006</c:v>
                </c:pt>
                <c:pt idx="3">
                  <c:v>2007</c:v>
                </c:pt>
                <c:pt idx="4">
                  <c:v>2008</c:v>
                </c:pt>
                <c:pt idx="5">
                  <c:v>2009</c:v>
                </c:pt>
                <c:pt idx="6">
                  <c:v>2010</c:v>
                </c:pt>
                <c:pt idx="7">
                  <c:v>2011</c:v>
                </c:pt>
              </c:numCache>
            </c:numRef>
          </c:cat>
          <c:val>
            <c:numRef>
              <c:f>Sheet1!$M$9:$M$16</c:f>
              <c:numCache>
                <c:formatCode>#,##0.0</c:formatCode>
                <c:ptCount val="8"/>
                <c:pt idx="0">
                  <c:v>421.4</c:v>
                </c:pt>
                <c:pt idx="1">
                  <c:v>486.7</c:v>
                </c:pt>
                <c:pt idx="2">
                  <c:v>579.20000000000005</c:v>
                </c:pt>
                <c:pt idx="3">
                  <c:v>598.5</c:v>
                </c:pt>
                <c:pt idx="4">
                  <c:v>746.2</c:v>
                </c:pt>
                <c:pt idx="5">
                  <c:v>831.1</c:v>
                </c:pt>
                <c:pt idx="6">
                  <c:v>1077.4000000000001</c:v>
                </c:pt>
                <c:pt idx="7">
                  <c:v>1117.4000000000001</c:v>
                </c:pt>
              </c:numCache>
            </c:numRef>
          </c:val>
        </c:ser>
        <c:marker val="1"/>
        <c:axId val="89985408"/>
        <c:axId val="89987328"/>
      </c:lineChart>
      <c:catAx>
        <c:axId val="89985408"/>
        <c:scaling>
          <c:orientation val="minMax"/>
        </c:scaling>
        <c:axPos val="b"/>
        <c:majorGridlines/>
        <c:title>
          <c:tx>
            <c:rich>
              <a:bodyPr/>
              <a:lstStyle/>
              <a:p>
                <a:pPr>
                  <a:defRPr/>
                </a:pPr>
                <a:r>
                  <a:rPr lang="en-US"/>
                  <a:t>Year</a:t>
                </a:r>
                <a:endParaRPr lang="ar-SA"/>
              </a:p>
            </c:rich>
          </c:tx>
          <c:layout>
            <c:manualLayout>
              <c:xMode val="edge"/>
              <c:yMode val="edge"/>
              <c:x val="0.52100840336134469"/>
              <c:y val="0.9163636363636366"/>
            </c:manualLayout>
          </c:layout>
        </c:title>
        <c:numFmt formatCode="General" sourceLinked="1"/>
        <c:tickLblPos val="nextTo"/>
        <c:txPr>
          <a:bodyPr rot="0" vert="horz"/>
          <a:lstStyle/>
          <a:p>
            <a:pPr>
              <a:defRPr/>
            </a:pPr>
            <a:endParaRPr lang="ar-SA"/>
          </a:p>
        </c:txPr>
        <c:crossAx val="89987328"/>
        <c:crosses val="autoZero"/>
        <c:auto val="1"/>
        <c:lblAlgn val="ctr"/>
        <c:lblOffset val="100"/>
        <c:tickLblSkip val="1"/>
        <c:tickMarkSkip val="1"/>
      </c:catAx>
      <c:valAx>
        <c:axId val="89987328"/>
        <c:scaling>
          <c:orientation val="minMax"/>
        </c:scaling>
        <c:axPos val="l"/>
        <c:majorGridlines/>
        <c:title>
          <c:tx>
            <c:rich>
              <a:bodyPr/>
              <a:lstStyle/>
              <a:p>
                <a:pPr>
                  <a:defRPr/>
                </a:pPr>
                <a:r>
                  <a:rPr lang="en-US"/>
                  <a:t> Compensations</a:t>
                </a:r>
                <a:r>
                  <a:rPr lang="en-US" baseline="0"/>
                  <a:t> of </a:t>
                </a:r>
                <a:r>
                  <a:rPr lang="en-US" sz="1000" b="1" i="0" u="none" strike="noStrike" baseline="0"/>
                  <a:t>employees</a:t>
                </a:r>
                <a:r>
                  <a:rPr lang="en-US" baseline="0"/>
                  <a:t> </a:t>
                </a:r>
                <a:endParaRPr lang="ar-SA"/>
              </a:p>
            </c:rich>
          </c:tx>
          <c:layout>
            <c:manualLayout>
              <c:xMode val="edge"/>
              <c:yMode val="edge"/>
              <c:x val="2.6172267521688816E-2"/>
              <c:y val="0.13842760358066991"/>
            </c:manualLayout>
          </c:layout>
        </c:title>
        <c:numFmt formatCode="#,##0.0" sourceLinked="1"/>
        <c:tickLblPos val="nextTo"/>
        <c:txPr>
          <a:bodyPr rot="0" vert="horz"/>
          <a:lstStyle/>
          <a:p>
            <a:pPr>
              <a:defRPr/>
            </a:pPr>
            <a:endParaRPr lang="ar-SA"/>
          </a:p>
        </c:txPr>
        <c:crossAx val="89985408"/>
        <c:crosses val="autoZero"/>
        <c:crossBetween val="between"/>
      </c:valAx>
    </c:plotArea>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2993492407809121"/>
          <c:y val="6.83453237410072E-2"/>
          <c:w val="0.67895878524945774"/>
          <c:h val="0.64748201438852415"/>
        </c:manualLayout>
      </c:layout>
      <c:barChart>
        <c:barDir val="col"/>
        <c:grouping val="clustered"/>
        <c:ser>
          <c:idx val="0"/>
          <c:order val="0"/>
          <c:tx>
            <c:strRef>
              <c:f>Sheet2!$A$12</c:f>
              <c:strCache>
                <c:ptCount val="1"/>
                <c:pt idx="0">
                  <c:v>     Current received remittances </c:v>
                </c:pt>
              </c:strCache>
            </c:strRef>
          </c:tx>
          <c:cat>
            <c:numRef>
              <c:f>Sheet2!$B$11:$I$11</c:f>
              <c:numCache>
                <c:formatCode>General</c:formatCode>
                <c:ptCount val="8"/>
                <c:pt idx="0">
                  <c:v>2004</c:v>
                </c:pt>
                <c:pt idx="1">
                  <c:v>2005</c:v>
                </c:pt>
                <c:pt idx="2">
                  <c:v>2006</c:v>
                </c:pt>
                <c:pt idx="3">
                  <c:v>2007</c:v>
                </c:pt>
                <c:pt idx="4">
                  <c:v>2008</c:v>
                </c:pt>
                <c:pt idx="5">
                  <c:v>2009</c:v>
                </c:pt>
                <c:pt idx="6">
                  <c:v>2010</c:v>
                </c:pt>
                <c:pt idx="7">
                  <c:v>2011</c:v>
                </c:pt>
              </c:numCache>
            </c:numRef>
          </c:cat>
          <c:val>
            <c:numRef>
              <c:f>Sheet2!$B$12:$I$12</c:f>
              <c:numCache>
                <c:formatCode>#,##0.0</c:formatCode>
                <c:ptCount val="8"/>
                <c:pt idx="0">
                  <c:v>895.3</c:v>
                </c:pt>
                <c:pt idx="1">
                  <c:v>1299.4000000000001</c:v>
                </c:pt>
                <c:pt idx="2">
                  <c:v>1623</c:v>
                </c:pt>
                <c:pt idx="3">
                  <c:v>2505.5</c:v>
                </c:pt>
                <c:pt idx="4">
                  <c:v>3572.8</c:v>
                </c:pt>
                <c:pt idx="5">
                  <c:v>2502</c:v>
                </c:pt>
                <c:pt idx="6">
                  <c:v>2476.5</c:v>
                </c:pt>
                <c:pt idx="7">
                  <c:v>1552.5</c:v>
                </c:pt>
              </c:numCache>
            </c:numRef>
          </c:val>
        </c:ser>
        <c:ser>
          <c:idx val="1"/>
          <c:order val="1"/>
          <c:tx>
            <c:strRef>
              <c:f>Sheet2!$A$13</c:f>
              <c:strCache>
                <c:ptCount val="1"/>
                <c:pt idx="0">
                  <c:v>   Capital received remittances  </c:v>
                </c:pt>
              </c:strCache>
            </c:strRef>
          </c:tx>
          <c:cat>
            <c:numRef>
              <c:f>Sheet2!$B$11:$I$11</c:f>
              <c:numCache>
                <c:formatCode>General</c:formatCode>
                <c:ptCount val="8"/>
                <c:pt idx="0">
                  <c:v>2004</c:v>
                </c:pt>
                <c:pt idx="1">
                  <c:v>2005</c:v>
                </c:pt>
                <c:pt idx="2">
                  <c:v>2006</c:v>
                </c:pt>
                <c:pt idx="3">
                  <c:v>2007</c:v>
                </c:pt>
                <c:pt idx="4">
                  <c:v>2008</c:v>
                </c:pt>
                <c:pt idx="5">
                  <c:v>2009</c:v>
                </c:pt>
                <c:pt idx="6">
                  <c:v>2010</c:v>
                </c:pt>
                <c:pt idx="7">
                  <c:v>2011</c:v>
                </c:pt>
              </c:numCache>
            </c:numRef>
          </c:cat>
          <c:val>
            <c:numRef>
              <c:f>Sheet2!$B$13:$I$13</c:f>
              <c:numCache>
                <c:formatCode>#,##0.0</c:formatCode>
                <c:ptCount val="8"/>
                <c:pt idx="0">
                  <c:v>667.9</c:v>
                </c:pt>
                <c:pt idx="1">
                  <c:v>416.8</c:v>
                </c:pt>
                <c:pt idx="2">
                  <c:v>273.5</c:v>
                </c:pt>
                <c:pt idx="3">
                  <c:v>400.2</c:v>
                </c:pt>
                <c:pt idx="4">
                  <c:v>397.5</c:v>
                </c:pt>
                <c:pt idx="5">
                  <c:v>719</c:v>
                </c:pt>
                <c:pt idx="6">
                  <c:v>846.1</c:v>
                </c:pt>
                <c:pt idx="7">
                  <c:v>425.9</c:v>
                </c:pt>
              </c:numCache>
            </c:numRef>
          </c:val>
        </c:ser>
        <c:axId val="90196224"/>
        <c:axId val="90202496"/>
      </c:barChart>
      <c:catAx>
        <c:axId val="90196224"/>
        <c:scaling>
          <c:orientation val="minMax"/>
        </c:scaling>
        <c:axPos val="b"/>
        <c:title>
          <c:tx>
            <c:rich>
              <a:bodyPr/>
              <a:lstStyle/>
              <a:p>
                <a:pPr>
                  <a:defRPr/>
                </a:pPr>
                <a:r>
                  <a:rPr lang="en-US"/>
                  <a:t>Year</a:t>
                </a:r>
                <a:endParaRPr lang="ar-SA"/>
              </a:p>
            </c:rich>
          </c:tx>
          <c:layout>
            <c:manualLayout>
              <c:xMode val="edge"/>
              <c:yMode val="edge"/>
              <c:x val="0.52494577006510623"/>
              <c:y val="0.82374100719428012"/>
            </c:manualLayout>
          </c:layout>
        </c:title>
        <c:numFmt formatCode="General" sourceLinked="1"/>
        <c:tickLblPos val="nextTo"/>
        <c:txPr>
          <a:bodyPr rot="0" vert="horz"/>
          <a:lstStyle/>
          <a:p>
            <a:pPr>
              <a:defRPr/>
            </a:pPr>
            <a:endParaRPr lang="ar-SA"/>
          </a:p>
        </c:txPr>
        <c:crossAx val="90202496"/>
        <c:crosses val="autoZero"/>
        <c:auto val="1"/>
        <c:lblAlgn val="ctr"/>
        <c:lblOffset val="100"/>
        <c:tickLblSkip val="1"/>
        <c:tickMarkSkip val="1"/>
      </c:catAx>
      <c:valAx>
        <c:axId val="90202496"/>
        <c:scaling>
          <c:orientation val="minMax"/>
        </c:scaling>
        <c:axPos val="l"/>
        <c:majorGridlines/>
        <c:title>
          <c:tx>
            <c:rich>
              <a:bodyPr/>
              <a:lstStyle/>
              <a:p>
                <a:pPr>
                  <a:defRPr/>
                </a:pPr>
                <a:r>
                  <a:rPr lang="en-US"/>
                  <a:t>Transfers </a:t>
                </a:r>
                <a:r>
                  <a:rPr lang="en-US" baseline="0"/>
                  <a:t>value </a:t>
                </a:r>
              </a:p>
              <a:p>
                <a:pPr>
                  <a:defRPr/>
                </a:pPr>
                <a:r>
                  <a:rPr lang="en-US" baseline="0"/>
                  <a:t>in US. million dollars</a:t>
                </a:r>
                <a:endParaRPr lang="ar-SA"/>
              </a:p>
            </c:rich>
          </c:tx>
          <c:layout>
            <c:manualLayout>
              <c:xMode val="edge"/>
              <c:yMode val="edge"/>
              <c:x val="4.1214750542299353E-2"/>
              <c:y val="0.2805755395683453"/>
            </c:manualLayout>
          </c:layout>
        </c:title>
        <c:numFmt formatCode="#,##0.0" sourceLinked="1"/>
        <c:tickLblPos val="nextTo"/>
        <c:txPr>
          <a:bodyPr rot="0" vert="horz"/>
          <a:lstStyle/>
          <a:p>
            <a:pPr>
              <a:defRPr/>
            </a:pPr>
            <a:endParaRPr lang="ar-SA"/>
          </a:p>
        </c:txPr>
        <c:crossAx val="90196224"/>
        <c:crosses val="autoZero"/>
        <c:crossBetween val="between"/>
      </c:valAx>
    </c:plotArea>
    <c:legend>
      <c:legendPos val="b"/>
      <c:layout>
        <c:manualLayout>
          <c:xMode val="edge"/>
          <c:yMode val="edge"/>
          <c:x val="0"/>
          <c:y val="0.90287769784172667"/>
          <c:w val="0.95630740424962801"/>
          <c:h val="7.9136690647487073E-2"/>
        </c:manualLayout>
      </c:layout>
    </c:legend>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800000000000001"/>
          <c:y val="3.5502958579881658E-2"/>
          <c:w val="0.84400000000000064"/>
          <c:h val="0.73076923076923073"/>
        </c:manualLayout>
      </c:layout>
      <c:barChart>
        <c:barDir val="col"/>
        <c:grouping val="clustered"/>
        <c:ser>
          <c:idx val="0"/>
          <c:order val="0"/>
          <c:tx>
            <c:strRef>
              <c:f>Sheet1!$A$13</c:f>
              <c:strCache>
                <c:ptCount val="1"/>
                <c:pt idx="0">
                  <c:v>Exports</c:v>
                </c:pt>
              </c:strCache>
            </c:strRef>
          </c:tx>
          <c:cat>
            <c:numRef>
              <c:f>Sheet1!$B$12:$I$12</c:f>
              <c:numCache>
                <c:formatCode>General</c:formatCode>
                <c:ptCount val="8"/>
                <c:pt idx="0">
                  <c:v>2004</c:v>
                </c:pt>
                <c:pt idx="1">
                  <c:v>2005</c:v>
                </c:pt>
                <c:pt idx="2">
                  <c:v>2006</c:v>
                </c:pt>
                <c:pt idx="3">
                  <c:v>2007</c:v>
                </c:pt>
                <c:pt idx="4">
                  <c:v>2008</c:v>
                </c:pt>
                <c:pt idx="5">
                  <c:v>2009</c:v>
                </c:pt>
                <c:pt idx="6">
                  <c:v>2010</c:v>
                </c:pt>
                <c:pt idx="7">
                  <c:v>2011</c:v>
                </c:pt>
              </c:numCache>
            </c:numRef>
          </c:cat>
          <c:val>
            <c:numRef>
              <c:f>Sheet1!$B$13:$I$13</c:f>
              <c:numCache>
                <c:formatCode>General</c:formatCode>
                <c:ptCount val="8"/>
                <c:pt idx="0">
                  <c:v>641.1</c:v>
                </c:pt>
                <c:pt idx="1">
                  <c:v>717.1</c:v>
                </c:pt>
                <c:pt idx="2">
                  <c:v>710.3</c:v>
                </c:pt>
                <c:pt idx="3">
                  <c:v>1016</c:v>
                </c:pt>
                <c:pt idx="4">
                  <c:v>1164.5</c:v>
                </c:pt>
                <c:pt idx="5">
                  <c:v>1210.5999999999999</c:v>
                </c:pt>
                <c:pt idx="6">
                  <c:v>1496.8</c:v>
                </c:pt>
                <c:pt idx="7">
                  <c:v>1600.3</c:v>
                </c:pt>
              </c:numCache>
            </c:numRef>
          </c:val>
        </c:ser>
        <c:ser>
          <c:idx val="1"/>
          <c:order val="1"/>
          <c:tx>
            <c:strRef>
              <c:f>Sheet1!$A$14</c:f>
              <c:strCache>
                <c:ptCount val="1"/>
                <c:pt idx="0">
                  <c:v>Imports</c:v>
                </c:pt>
              </c:strCache>
            </c:strRef>
          </c:tx>
          <c:cat>
            <c:numRef>
              <c:f>Sheet1!$B$12:$I$12</c:f>
              <c:numCache>
                <c:formatCode>General</c:formatCode>
                <c:ptCount val="8"/>
                <c:pt idx="0">
                  <c:v>2004</c:v>
                </c:pt>
                <c:pt idx="1">
                  <c:v>2005</c:v>
                </c:pt>
                <c:pt idx="2">
                  <c:v>2006</c:v>
                </c:pt>
                <c:pt idx="3">
                  <c:v>2007</c:v>
                </c:pt>
                <c:pt idx="4">
                  <c:v>2008</c:v>
                </c:pt>
                <c:pt idx="5">
                  <c:v>2009</c:v>
                </c:pt>
                <c:pt idx="6">
                  <c:v>2010</c:v>
                </c:pt>
                <c:pt idx="7">
                  <c:v>2011</c:v>
                </c:pt>
              </c:numCache>
            </c:numRef>
          </c:cat>
          <c:val>
            <c:numRef>
              <c:f>Sheet1!$B$14:$I$14</c:f>
              <c:numCache>
                <c:formatCode>General</c:formatCode>
                <c:ptCount val="8"/>
                <c:pt idx="0">
                  <c:v>3337.8</c:v>
                </c:pt>
                <c:pt idx="1">
                  <c:v>3618.4</c:v>
                </c:pt>
                <c:pt idx="2">
                  <c:v>3805.7</c:v>
                </c:pt>
                <c:pt idx="3">
                  <c:v>4567.3</c:v>
                </c:pt>
                <c:pt idx="4">
                  <c:v>4739.2</c:v>
                </c:pt>
                <c:pt idx="5">
                  <c:v>5066.8</c:v>
                </c:pt>
                <c:pt idx="6">
                  <c:v>5461.7</c:v>
                </c:pt>
                <c:pt idx="7">
                  <c:v>5930.6</c:v>
                </c:pt>
              </c:numCache>
            </c:numRef>
          </c:val>
        </c:ser>
        <c:ser>
          <c:idx val="2"/>
          <c:order val="2"/>
          <c:tx>
            <c:strRef>
              <c:f>Sheet1!$A$15</c:f>
              <c:strCache>
                <c:ptCount val="1"/>
                <c:pt idx="0">
                  <c:v>Deficit</c:v>
                </c:pt>
              </c:strCache>
            </c:strRef>
          </c:tx>
          <c:cat>
            <c:numRef>
              <c:f>Sheet1!$B$12:$I$12</c:f>
              <c:numCache>
                <c:formatCode>General</c:formatCode>
                <c:ptCount val="8"/>
                <c:pt idx="0">
                  <c:v>2004</c:v>
                </c:pt>
                <c:pt idx="1">
                  <c:v>2005</c:v>
                </c:pt>
                <c:pt idx="2">
                  <c:v>2006</c:v>
                </c:pt>
                <c:pt idx="3">
                  <c:v>2007</c:v>
                </c:pt>
                <c:pt idx="4">
                  <c:v>2008</c:v>
                </c:pt>
                <c:pt idx="5">
                  <c:v>2009</c:v>
                </c:pt>
                <c:pt idx="6">
                  <c:v>2010</c:v>
                </c:pt>
                <c:pt idx="7">
                  <c:v>2011</c:v>
                </c:pt>
              </c:numCache>
            </c:numRef>
          </c:cat>
          <c:val>
            <c:numRef>
              <c:f>Sheet1!$B$15:$I$15</c:f>
              <c:numCache>
                <c:formatCode>General</c:formatCode>
                <c:ptCount val="8"/>
                <c:pt idx="0">
                  <c:v>-2696.7</c:v>
                </c:pt>
                <c:pt idx="1">
                  <c:v>-2901.3</c:v>
                </c:pt>
                <c:pt idx="2">
                  <c:v>-3095.4</c:v>
                </c:pt>
                <c:pt idx="3">
                  <c:v>-3551.3</c:v>
                </c:pt>
                <c:pt idx="4">
                  <c:v>-3574.7</c:v>
                </c:pt>
                <c:pt idx="5">
                  <c:v>-3856.2</c:v>
                </c:pt>
                <c:pt idx="6">
                  <c:v>-3964.9</c:v>
                </c:pt>
                <c:pt idx="7">
                  <c:v>-4330.3</c:v>
                </c:pt>
              </c:numCache>
            </c:numRef>
          </c:val>
        </c:ser>
        <c:axId val="89912832"/>
        <c:axId val="89914752"/>
      </c:barChart>
      <c:catAx>
        <c:axId val="89912832"/>
        <c:scaling>
          <c:orientation val="minMax"/>
        </c:scaling>
        <c:axPos val="b"/>
        <c:title>
          <c:tx>
            <c:rich>
              <a:bodyPr/>
              <a:lstStyle/>
              <a:p>
                <a:pPr>
                  <a:defRPr/>
                </a:pPr>
                <a:r>
                  <a:rPr lang="en-US"/>
                  <a:t>Year</a:t>
                </a:r>
                <a:endParaRPr lang="ar-SA"/>
              </a:p>
            </c:rich>
          </c:tx>
          <c:layout>
            <c:manualLayout>
              <c:xMode val="edge"/>
              <c:yMode val="edge"/>
              <c:x val="0.50600000000000001"/>
              <c:y val="0.78402366863905371"/>
            </c:manualLayout>
          </c:layout>
        </c:title>
        <c:numFmt formatCode="General" sourceLinked="1"/>
        <c:tickLblPos val="nextTo"/>
        <c:txPr>
          <a:bodyPr rot="0" vert="horz"/>
          <a:lstStyle/>
          <a:p>
            <a:pPr>
              <a:defRPr/>
            </a:pPr>
            <a:endParaRPr lang="ar-SA"/>
          </a:p>
        </c:txPr>
        <c:crossAx val="89914752"/>
        <c:crosses val="autoZero"/>
        <c:auto val="1"/>
        <c:lblAlgn val="ctr"/>
        <c:lblOffset val="100"/>
        <c:tickLblSkip val="1"/>
        <c:tickMarkSkip val="1"/>
      </c:catAx>
      <c:valAx>
        <c:axId val="89914752"/>
        <c:scaling>
          <c:orientation val="minMax"/>
        </c:scaling>
        <c:axPos val="l"/>
        <c:majorGridlines/>
        <c:title>
          <c:tx>
            <c:rich>
              <a:bodyPr/>
              <a:lstStyle/>
              <a:p>
                <a:pPr>
                  <a:defRPr/>
                </a:pPr>
                <a:r>
                  <a:rPr lang="en-US"/>
                  <a:t>Value</a:t>
                </a:r>
                <a:r>
                  <a:rPr lang="en-US" baseline="0"/>
                  <a:t> in U.S. million dollars</a:t>
                </a:r>
                <a:endParaRPr lang="ar-SA"/>
              </a:p>
            </c:rich>
          </c:tx>
          <c:layout>
            <c:manualLayout>
              <c:xMode val="edge"/>
              <c:yMode val="edge"/>
              <c:x val="1.2530635394555461E-2"/>
              <c:y val="0.15891994646624705"/>
            </c:manualLayout>
          </c:layout>
        </c:title>
        <c:numFmt formatCode="General" sourceLinked="1"/>
        <c:tickLblPos val="nextTo"/>
        <c:txPr>
          <a:bodyPr rot="0" vert="horz"/>
          <a:lstStyle/>
          <a:p>
            <a:pPr>
              <a:defRPr/>
            </a:pPr>
            <a:endParaRPr lang="ar-SA"/>
          </a:p>
        </c:txPr>
        <c:crossAx val="89912832"/>
        <c:crosses val="autoZero"/>
        <c:crossBetween val="between"/>
        <c:majorUnit val="1500"/>
      </c:valAx>
    </c:plotArea>
    <c:legend>
      <c:legendPos val="b"/>
      <c:layout>
        <c:manualLayout>
          <c:xMode val="edge"/>
          <c:yMode val="edge"/>
          <c:x val="0.28200000000000008"/>
          <c:y val="0.86094674556213013"/>
          <c:w val="0.47800000000000031"/>
          <c:h val="7.1005917159763413E-2"/>
        </c:manualLayout>
      </c:layout>
    </c:legend>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7972350230414738"/>
          <c:y val="0.1111111111111111"/>
          <c:w val="0.77035330261136714"/>
          <c:h val="0.64396654719235358"/>
        </c:manualLayout>
      </c:layout>
      <c:lineChart>
        <c:grouping val="standard"/>
        <c:ser>
          <c:idx val="0"/>
          <c:order val="0"/>
          <c:tx>
            <c:strRef>
              <c:f>Sheet3!$C$43</c:f>
              <c:strCache>
                <c:ptCount val="1"/>
                <c:pt idx="0">
                  <c:v>الايرادات الضريبية</c:v>
                </c:pt>
              </c:strCache>
            </c:strRef>
          </c:tx>
          <c:marker>
            <c:symbol val="none"/>
          </c:marker>
          <c:dLbls>
            <c:dLbl>
              <c:idx val="0"/>
              <c:layout>
                <c:manualLayout>
                  <c:x val="-5.3314248486655946E-2"/>
                  <c:y val="-5.48303523060506E-2"/>
                </c:manualLayout>
              </c:layout>
              <c:dLblPos val="r"/>
              <c:showVal val="1"/>
            </c:dLbl>
            <c:dLbl>
              <c:idx val="7"/>
              <c:layout>
                <c:manualLayout>
                  <c:x val="-7.4534161490683232E-2"/>
                  <c:y val="-2.6058631921824206E-2"/>
                </c:manualLayout>
              </c:layout>
              <c:showVal val="1"/>
            </c:dLbl>
            <c:delete val="1"/>
          </c:dLbls>
          <c:cat>
            <c:numRef>
              <c:f>Sheet3!$B$44:$B$51</c:f>
              <c:numCache>
                <c:formatCode>General</c:formatCode>
                <c:ptCount val="8"/>
                <c:pt idx="0">
                  <c:v>2004</c:v>
                </c:pt>
                <c:pt idx="1">
                  <c:v>2005</c:v>
                </c:pt>
                <c:pt idx="2">
                  <c:v>2006</c:v>
                </c:pt>
                <c:pt idx="3">
                  <c:v>2007</c:v>
                </c:pt>
                <c:pt idx="4">
                  <c:v>2008</c:v>
                </c:pt>
                <c:pt idx="5">
                  <c:v>2009</c:v>
                </c:pt>
                <c:pt idx="6">
                  <c:v>2010</c:v>
                </c:pt>
                <c:pt idx="7">
                  <c:v>2011</c:v>
                </c:pt>
              </c:numCache>
            </c:numRef>
          </c:cat>
          <c:val>
            <c:numRef>
              <c:f>Sheet3!$C$44:$C$51</c:f>
              <c:numCache>
                <c:formatCode>General</c:formatCode>
                <c:ptCount val="8"/>
                <c:pt idx="0">
                  <c:v>191</c:v>
                </c:pt>
                <c:pt idx="1">
                  <c:v>231</c:v>
                </c:pt>
                <c:pt idx="2">
                  <c:v>221</c:v>
                </c:pt>
                <c:pt idx="3">
                  <c:v>202</c:v>
                </c:pt>
                <c:pt idx="4">
                  <c:v>272.89999999999969</c:v>
                </c:pt>
                <c:pt idx="5">
                  <c:v>301.5</c:v>
                </c:pt>
                <c:pt idx="6">
                  <c:v>474.4</c:v>
                </c:pt>
                <c:pt idx="7">
                  <c:v>482.3</c:v>
                </c:pt>
              </c:numCache>
            </c:numRef>
          </c:val>
        </c:ser>
        <c:marker val="1"/>
        <c:axId val="90037632"/>
        <c:axId val="90334720"/>
      </c:lineChart>
      <c:catAx>
        <c:axId val="90037632"/>
        <c:scaling>
          <c:orientation val="minMax"/>
        </c:scaling>
        <c:axPos val="b"/>
        <c:majorGridlines/>
        <c:title>
          <c:tx>
            <c:rich>
              <a:bodyPr/>
              <a:lstStyle/>
              <a:p>
                <a:pPr>
                  <a:defRPr/>
                </a:pPr>
                <a:r>
                  <a:rPr lang="en-US"/>
                  <a:t>Year</a:t>
                </a:r>
              </a:p>
            </c:rich>
          </c:tx>
          <c:layout>
            <c:manualLayout>
              <c:xMode val="edge"/>
              <c:yMode val="edge"/>
              <c:x val="0.49155144190487426"/>
              <c:y val="0.87813604107567367"/>
            </c:manualLayout>
          </c:layout>
        </c:title>
        <c:numFmt formatCode="General" sourceLinked="1"/>
        <c:tickLblPos val="nextTo"/>
        <c:txPr>
          <a:bodyPr rot="0" vert="horz"/>
          <a:lstStyle/>
          <a:p>
            <a:pPr>
              <a:defRPr/>
            </a:pPr>
            <a:endParaRPr lang="ar-SA"/>
          </a:p>
        </c:txPr>
        <c:crossAx val="90334720"/>
        <c:crosses val="autoZero"/>
        <c:auto val="1"/>
        <c:lblAlgn val="ctr"/>
        <c:lblOffset val="100"/>
        <c:tickLblSkip val="1"/>
        <c:tickMarkSkip val="1"/>
      </c:catAx>
      <c:valAx>
        <c:axId val="90334720"/>
        <c:scaling>
          <c:orientation val="minMax"/>
        </c:scaling>
        <c:axPos val="l"/>
        <c:majorGridlines/>
        <c:title>
          <c:tx>
            <c:rich>
              <a:bodyPr/>
              <a:lstStyle/>
              <a:p>
                <a:pPr>
                  <a:defRPr/>
                </a:pPr>
                <a:r>
                  <a:rPr lang="en-US"/>
                  <a:t>Tax Revenue</a:t>
                </a:r>
              </a:p>
            </c:rich>
          </c:tx>
          <c:layout>
            <c:manualLayout>
              <c:xMode val="edge"/>
              <c:yMode val="edge"/>
              <c:x val="2.2273420896383792E-2"/>
              <c:y val="0.21266417455393841"/>
            </c:manualLayout>
          </c:layout>
        </c:title>
        <c:numFmt formatCode="General" sourceLinked="1"/>
        <c:tickLblPos val="nextTo"/>
        <c:txPr>
          <a:bodyPr rot="0" vert="horz"/>
          <a:lstStyle/>
          <a:p>
            <a:pPr>
              <a:defRPr/>
            </a:pPr>
            <a:endParaRPr lang="ar-SA"/>
          </a:p>
        </c:txPr>
        <c:crossAx val="90037632"/>
        <c:crosses val="autoZero"/>
        <c:crossBetween val="between"/>
        <c:majorUnit val="100"/>
        <c:minorUnit val="50"/>
      </c:valAx>
    </c:plotArea>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9415448851774544"/>
          <c:y val="5.128205128205128E-2"/>
          <c:w val="0.78705636743214957"/>
          <c:h val="0.75961538461540601"/>
        </c:manualLayout>
      </c:layout>
      <c:lineChart>
        <c:grouping val="standard"/>
        <c:ser>
          <c:idx val="0"/>
          <c:order val="0"/>
          <c:tx>
            <c:strRef>
              <c:f>Sheet3!$C$56</c:f>
              <c:strCache>
                <c:ptCount val="1"/>
                <c:pt idx="0">
                  <c:v>ايرادات المقاصة</c:v>
                </c:pt>
              </c:strCache>
            </c:strRef>
          </c:tx>
          <c:marker>
            <c:symbol val="none"/>
          </c:marker>
          <c:dLbls>
            <c:dLbl>
              <c:idx val="0"/>
              <c:layout>
                <c:manualLayout>
                  <c:x val="-5.1948051948051951E-2"/>
                  <c:y val="-6.2111801242237134E-2"/>
                </c:manualLayout>
              </c:layout>
              <c:showVal val="1"/>
            </c:dLbl>
            <c:dLbl>
              <c:idx val="7"/>
              <c:layout>
                <c:manualLayout>
                  <c:x val="-9.8751357379034024E-2"/>
                  <c:y val="8.2815734989647935E-3"/>
                </c:manualLayout>
              </c:layout>
              <c:showVal val="1"/>
            </c:dLbl>
            <c:delete val="1"/>
          </c:dLbls>
          <c:cat>
            <c:numRef>
              <c:f>Sheet3!$B$57:$B$64</c:f>
              <c:numCache>
                <c:formatCode>General</c:formatCode>
                <c:ptCount val="8"/>
                <c:pt idx="0">
                  <c:v>2004</c:v>
                </c:pt>
                <c:pt idx="1">
                  <c:v>2005</c:v>
                </c:pt>
                <c:pt idx="2">
                  <c:v>2006</c:v>
                </c:pt>
                <c:pt idx="3">
                  <c:v>2007</c:v>
                </c:pt>
                <c:pt idx="4">
                  <c:v>2008</c:v>
                </c:pt>
                <c:pt idx="5">
                  <c:v>2009</c:v>
                </c:pt>
                <c:pt idx="6">
                  <c:v>2010</c:v>
                </c:pt>
                <c:pt idx="7">
                  <c:v>2011</c:v>
                </c:pt>
              </c:numCache>
            </c:numRef>
          </c:cat>
          <c:val>
            <c:numRef>
              <c:f>Sheet3!$C$57:$C$64</c:f>
              <c:numCache>
                <c:formatCode>#,##0.0</c:formatCode>
                <c:ptCount val="8"/>
                <c:pt idx="0">
                  <c:v>617</c:v>
                </c:pt>
                <c:pt idx="1">
                  <c:v>757</c:v>
                </c:pt>
                <c:pt idx="2">
                  <c:v>771</c:v>
                </c:pt>
                <c:pt idx="3">
                  <c:v>896</c:v>
                </c:pt>
                <c:pt idx="4">
                  <c:v>1122.2</c:v>
                </c:pt>
                <c:pt idx="5">
                  <c:v>1103.2</c:v>
                </c:pt>
                <c:pt idx="6">
                  <c:v>1259.2</c:v>
                </c:pt>
                <c:pt idx="7">
                  <c:v>1423.2</c:v>
                </c:pt>
              </c:numCache>
            </c:numRef>
          </c:val>
        </c:ser>
        <c:marker val="1"/>
        <c:axId val="90330240"/>
        <c:axId val="90332160"/>
      </c:lineChart>
      <c:catAx>
        <c:axId val="90330240"/>
        <c:scaling>
          <c:orientation val="minMax"/>
        </c:scaling>
        <c:axPos val="b"/>
        <c:majorGridlines/>
        <c:title>
          <c:tx>
            <c:rich>
              <a:bodyPr/>
              <a:lstStyle/>
              <a:p>
                <a:pPr>
                  <a:defRPr>
                    <a:cs typeface="+mn-cs"/>
                  </a:defRPr>
                </a:pPr>
                <a:r>
                  <a:rPr lang="en-US">
                    <a:cs typeface="+mn-cs"/>
                  </a:rPr>
                  <a:t>Year</a:t>
                </a:r>
              </a:p>
            </c:rich>
          </c:tx>
          <c:layout>
            <c:manualLayout>
              <c:xMode val="edge"/>
              <c:yMode val="edge"/>
              <c:x val="0.47103852067151875"/>
              <c:y val="0.91052252415507218"/>
            </c:manualLayout>
          </c:layout>
        </c:title>
        <c:numFmt formatCode="General" sourceLinked="1"/>
        <c:tickLblPos val="nextTo"/>
        <c:txPr>
          <a:bodyPr rot="0" vert="horz"/>
          <a:lstStyle/>
          <a:p>
            <a:pPr>
              <a:defRPr/>
            </a:pPr>
            <a:endParaRPr lang="ar-SA"/>
          </a:p>
        </c:txPr>
        <c:crossAx val="90332160"/>
        <c:crosses val="autoZero"/>
        <c:auto val="1"/>
        <c:lblAlgn val="ctr"/>
        <c:lblOffset val="100"/>
        <c:tickLblSkip val="1"/>
        <c:tickMarkSkip val="1"/>
      </c:catAx>
      <c:valAx>
        <c:axId val="90332160"/>
        <c:scaling>
          <c:orientation val="minMax"/>
        </c:scaling>
        <c:axPos val="l"/>
        <c:majorGridlines/>
        <c:title>
          <c:tx>
            <c:rich>
              <a:bodyPr/>
              <a:lstStyle/>
              <a:p>
                <a:pPr>
                  <a:defRPr>
                    <a:cs typeface="+mn-cs"/>
                  </a:defRPr>
                </a:pPr>
                <a:r>
                  <a:rPr lang="en-US">
                    <a:cs typeface="+mn-cs"/>
                  </a:rPr>
                  <a:t> Clearance Revenue </a:t>
                </a:r>
              </a:p>
            </c:rich>
          </c:tx>
          <c:layout>
            <c:manualLayout>
              <c:xMode val="edge"/>
              <c:yMode val="edge"/>
              <c:x val="4.3142915332743913E-2"/>
              <c:y val="0.15564731684828051"/>
            </c:manualLayout>
          </c:layout>
        </c:title>
        <c:numFmt formatCode="#,##0.0" sourceLinked="1"/>
        <c:tickLblPos val="nextTo"/>
        <c:txPr>
          <a:bodyPr rot="0" vert="horz"/>
          <a:lstStyle/>
          <a:p>
            <a:pPr>
              <a:defRPr/>
            </a:pPr>
            <a:endParaRPr lang="ar-SA"/>
          </a:p>
        </c:txPr>
        <c:crossAx val="90330240"/>
        <c:crosses val="autoZero"/>
        <c:crossBetween val="between"/>
        <c:majorUnit val="300"/>
      </c:valAx>
    </c:plotArea>
    <c:plotVisOnly val="1"/>
    <c:dispBlanksAs val="gap"/>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style val="1"/>
  <c:chart>
    <c:view3D>
      <c:perspective val="0"/>
    </c:view3D>
    <c:plotArea>
      <c:layout>
        <c:manualLayout>
          <c:layoutTarget val="inner"/>
          <c:xMode val="edge"/>
          <c:yMode val="edge"/>
          <c:x val="0.17665615141955837"/>
          <c:y val="0.36940298507465702"/>
          <c:w val="0.54889589905364833"/>
          <c:h val="0.25746268656716431"/>
        </c:manualLayout>
      </c:layout>
      <c:pie3DChart>
        <c:varyColors val="1"/>
        <c:ser>
          <c:idx val="0"/>
          <c:order val="0"/>
          <c:dLbls>
            <c:dLbl>
              <c:idx val="0"/>
              <c:layout>
                <c:manualLayout>
                  <c:x val="6.6924288828539283E-3"/>
                  <c:y val="0.16531951041216691"/>
                </c:manualLayout>
              </c:layout>
              <c:showCatName val="1"/>
              <c:showPercent val="1"/>
            </c:dLbl>
            <c:dLbl>
              <c:idx val="1"/>
              <c:layout>
                <c:manualLayout>
                  <c:x val="-3.0844470129307251E-2"/>
                  <c:y val="0.16795860949036506"/>
                </c:manualLayout>
              </c:layout>
              <c:showCatName val="1"/>
              <c:showPercent val="1"/>
            </c:dLbl>
            <c:dLbl>
              <c:idx val="2"/>
              <c:layout>
                <c:manualLayout>
                  <c:x val="0.23223434226684991"/>
                  <c:y val="-0.14265450631620688"/>
                </c:manualLayout>
              </c:layout>
              <c:showCatName val="1"/>
              <c:showPercent val="1"/>
            </c:dLbl>
            <c:numFmt formatCode="0%" sourceLinked="0"/>
            <c:showCatName val="1"/>
            <c:showPercent val="1"/>
            <c:showLeaderLines val="1"/>
          </c:dLbls>
          <c:cat>
            <c:strRef>
              <c:f>Sheet3!$C$67:$E$67</c:f>
              <c:strCache>
                <c:ptCount val="3"/>
                <c:pt idx="0">
                  <c:v>wages</c:v>
                </c:pt>
                <c:pt idx="1">
                  <c:v>non wages</c:v>
                </c:pt>
                <c:pt idx="2">
                  <c:v>net loans</c:v>
                </c:pt>
              </c:strCache>
            </c:strRef>
          </c:cat>
          <c:val>
            <c:numRef>
              <c:f>Sheet3!$C$68:$E$68</c:f>
              <c:numCache>
                <c:formatCode>General</c:formatCode>
                <c:ptCount val="3"/>
                <c:pt idx="0">
                  <c:v>1613.8</c:v>
                </c:pt>
                <c:pt idx="1">
                  <c:v>1227.0999999999999</c:v>
                </c:pt>
                <c:pt idx="2">
                  <c:v>235.9</c:v>
                </c:pt>
              </c:numCache>
            </c:numRef>
          </c:val>
        </c:ser>
        <c:dLbls>
          <c:showCatName val="1"/>
          <c:showPercent val="1"/>
        </c:dLbls>
      </c:pie3DChart>
    </c:plotArea>
    <c:plotVisOnly val="1"/>
    <c:dispBlanksAs val="zero"/>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style val="1"/>
  <c:chart>
    <c:view3D>
      <c:perspective val="0"/>
    </c:view3D>
    <c:plotArea>
      <c:layout>
        <c:manualLayout>
          <c:layoutTarget val="inner"/>
          <c:xMode val="edge"/>
          <c:yMode val="edge"/>
          <c:x val="0.19687499999999997"/>
          <c:y val="0.41328413284132826"/>
          <c:w val="0.61250000000000004"/>
          <c:h val="0.28782287822879943"/>
        </c:manualLayout>
      </c:layout>
      <c:pie3DChart>
        <c:varyColors val="1"/>
        <c:ser>
          <c:idx val="0"/>
          <c:order val="0"/>
          <c:dLbls>
            <c:dLbl>
              <c:idx val="0"/>
              <c:layout>
                <c:manualLayout>
                  <c:x val="-8.8159916048999986E-3"/>
                  <c:y val="0.2077451918584253"/>
                </c:manualLayout>
              </c:layout>
              <c:showCatName val="1"/>
              <c:showPercent val="1"/>
            </c:dLbl>
            <c:dLbl>
              <c:idx val="1"/>
              <c:layout>
                <c:manualLayout>
                  <c:x val="-3.8491685403474613E-2"/>
                  <c:y val="0.17828715538054091"/>
                </c:manualLayout>
              </c:layout>
              <c:showCatName val="1"/>
              <c:showPercent val="1"/>
            </c:dLbl>
            <c:dLbl>
              <c:idx val="2"/>
              <c:layout>
                <c:manualLayout>
                  <c:x val="0.19679440069991291"/>
                  <c:y val="-0.15095842557047745"/>
                </c:manualLayout>
              </c:layout>
              <c:showCatName val="1"/>
              <c:showPercent val="1"/>
            </c:dLbl>
            <c:numFmt formatCode="0%" sourceLinked="0"/>
            <c:showCatName val="1"/>
            <c:showPercent val="1"/>
            <c:showLeaderLines val="1"/>
          </c:dLbls>
          <c:cat>
            <c:strRef>
              <c:f>Sheet3!$C$69:$E$69</c:f>
              <c:strCache>
                <c:ptCount val="3"/>
                <c:pt idx="0">
                  <c:v>wages</c:v>
                </c:pt>
                <c:pt idx="1">
                  <c:v>non wages</c:v>
                </c:pt>
                <c:pt idx="2">
                  <c:v>net loans</c:v>
                </c:pt>
              </c:strCache>
            </c:strRef>
          </c:cat>
          <c:val>
            <c:numRef>
              <c:f>Sheet3!$C$70:$E$70</c:f>
              <c:numCache>
                <c:formatCode>General</c:formatCode>
                <c:ptCount val="3"/>
                <c:pt idx="0">
                  <c:v>1782.4</c:v>
                </c:pt>
                <c:pt idx="1">
                  <c:v>1400.9</c:v>
                </c:pt>
                <c:pt idx="2">
                  <c:v>139.9</c:v>
                </c:pt>
              </c:numCache>
            </c:numRef>
          </c:val>
        </c:ser>
        <c:dLbls>
          <c:showCatName val="1"/>
          <c:showPercent val="1"/>
        </c:dLbls>
      </c:pie3DChart>
    </c:plotArea>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0233463035019494"/>
          <c:y val="7.4433656957933955E-2"/>
          <c:w val="0.7354085603112841"/>
          <c:h val="0.58899676375402232"/>
        </c:manualLayout>
      </c:layout>
      <c:lineChart>
        <c:grouping val="standard"/>
        <c:ser>
          <c:idx val="0"/>
          <c:order val="0"/>
          <c:tx>
            <c:strRef>
              <c:f>Sheet1!$G$57</c:f>
              <c:strCache>
                <c:ptCount val="1"/>
                <c:pt idx="0">
                  <c:v>Palestinian Territory</c:v>
                </c:pt>
              </c:strCache>
            </c:strRef>
          </c:tx>
          <c:marker>
            <c:symbol val="none"/>
          </c:marker>
          <c:cat>
            <c:numRef>
              <c:f>Sheet1!$A$58:$A$65</c:f>
              <c:numCache>
                <c:formatCode>General</c:formatCode>
                <c:ptCount val="8"/>
                <c:pt idx="0">
                  <c:v>2004</c:v>
                </c:pt>
                <c:pt idx="1">
                  <c:v>2005</c:v>
                </c:pt>
                <c:pt idx="2">
                  <c:v>2006</c:v>
                </c:pt>
                <c:pt idx="3">
                  <c:v>2007</c:v>
                </c:pt>
                <c:pt idx="4">
                  <c:v>2008</c:v>
                </c:pt>
                <c:pt idx="5">
                  <c:v>2009</c:v>
                </c:pt>
                <c:pt idx="6">
                  <c:v>2010</c:v>
                </c:pt>
                <c:pt idx="7">
                  <c:v>2011</c:v>
                </c:pt>
              </c:numCache>
            </c:numRef>
          </c:cat>
          <c:val>
            <c:numRef>
              <c:f>Sheet1!$G$58:$G$65</c:f>
              <c:numCache>
                <c:formatCode>#,##0.0</c:formatCode>
                <c:ptCount val="8"/>
                <c:pt idx="0">
                  <c:v>1317</c:v>
                </c:pt>
                <c:pt idx="1">
                  <c:v>1387.2</c:v>
                </c:pt>
                <c:pt idx="2">
                  <c:v>1275.4000000000001</c:v>
                </c:pt>
                <c:pt idx="3">
                  <c:v>1303.2</c:v>
                </c:pt>
                <c:pt idx="4">
                  <c:v>1356.3</c:v>
                </c:pt>
                <c:pt idx="5">
                  <c:v>1415.2</c:v>
                </c:pt>
                <c:pt idx="6">
                  <c:v>1509.9</c:v>
                </c:pt>
                <c:pt idx="7">
                  <c:v>1609.6</c:v>
                </c:pt>
              </c:numCache>
            </c:numRef>
          </c:val>
        </c:ser>
        <c:ser>
          <c:idx val="1"/>
          <c:order val="1"/>
          <c:tx>
            <c:strRef>
              <c:f>Sheet1!$H$57</c:f>
              <c:strCache>
                <c:ptCount val="1"/>
                <c:pt idx="0">
                  <c:v>West Bank</c:v>
                </c:pt>
              </c:strCache>
            </c:strRef>
          </c:tx>
          <c:spPr>
            <a:ln>
              <a:prstDash val="sysDot"/>
            </a:ln>
          </c:spPr>
          <c:marker>
            <c:symbol val="none"/>
          </c:marker>
          <c:cat>
            <c:numRef>
              <c:f>Sheet1!$A$58:$A$65</c:f>
              <c:numCache>
                <c:formatCode>General</c:formatCode>
                <c:ptCount val="8"/>
                <c:pt idx="0">
                  <c:v>2004</c:v>
                </c:pt>
                <c:pt idx="1">
                  <c:v>2005</c:v>
                </c:pt>
                <c:pt idx="2">
                  <c:v>2006</c:v>
                </c:pt>
                <c:pt idx="3">
                  <c:v>2007</c:v>
                </c:pt>
                <c:pt idx="4">
                  <c:v>2008</c:v>
                </c:pt>
                <c:pt idx="5">
                  <c:v>2009</c:v>
                </c:pt>
                <c:pt idx="6">
                  <c:v>2010</c:v>
                </c:pt>
                <c:pt idx="7">
                  <c:v>2011</c:v>
                </c:pt>
              </c:numCache>
            </c:numRef>
          </c:cat>
          <c:val>
            <c:numRef>
              <c:f>Sheet1!$H$58:$H$65</c:f>
              <c:numCache>
                <c:formatCode>#,##0.0</c:formatCode>
                <c:ptCount val="8"/>
                <c:pt idx="0">
                  <c:v>1457.1</c:v>
                </c:pt>
                <c:pt idx="1">
                  <c:v>1451.1</c:v>
                </c:pt>
                <c:pt idx="2">
                  <c:v>1459.8</c:v>
                </c:pt>
                <c:pt idx="3">
                  <c:v>1580.5</c:v>
                </c:pt>
                <c:pt idx="4">
                  <c:v>1723.6</c:v>
                </c:pt>
                <c:pt idx="5">
                  <c:v>1796.3</c:v>
                </c:pt>
                <c:pt idx="6" formatCode="0.0">
                  <c:v>1867.1</c:v>
                </c:pt>
                <c:pt idx="7">
                  <c:v>1912.1</c:v>
                </c:pt>
              </c:numCache>
            </c:numRef>
          </c:val>
        </c:ser>
        <c:ser>
          <c:idx val="2"/>
          <c:order val="2"/>
          <c:tx>
            <c:strRef>
              <c:f>Sheet1!$I$57</c:f>
              <c:strCache>
                <c:ptCount val="1"/>
                <c:pt idx="0">
                  <c:v>Gaza Strip</c:v>
                </c:pt>
              </c:strCache>
            </c:strRef>
          </c:tx>
          <c:spPr>
            <a:ln>
              <a:prstDash val="dashDot"/>
            </a:ln>
          </c:spPr>
          <c:marker>
            <c:symbol val="none"/>
          </c:marker>
          <c:cat>
            <c:numRef>
              <c:f>Sheet1!$A$58:$A$65</c:f>
              <c:numCache>
                <c:formatCode>General</c:formatCode>
                <c:ptCount val="8"/>
                <c:pt idx="0">
                  <c:v>2004</c:v>
                </c:pt>
                <c:pt idx="1">
                  <c:v>2005</c:v>
                </c:pt>
                <c:pt idx="2">
                  <c:v>2006</c:v>
                </c:pt>
                <c:pt idx="3">
                  <c:v>2007</c:v>
                </c:pt>
                <c:pt idx="4">
                  <c:v>2008</c:v>
                </c:pt>
                <c:pt idx="5">
                  <c:v>2009</c:v>
                </c:pt>
                <c:pt idx="6">
                  <c:v>2010</c:v>
                </c:pt>
                <c:pt idx="7">
                  <c:v>2011</c:v>
                </c:pt>
              </c:numCache>
            </c:numRef>
          </c:cat>
          <c:val>
            <c:numRef>
              <c:f>Sheet1!$I$58:$I$65</c:f>
              <c:numCache>
                <c:formatCode>#,##0.0</c:formatCode>
                <c:ptCount val="8"/>
                <c:pt idx="0">
                  <c:v>1103.0999999999999</c:v>
                </c:pt>
                <c:pt idx="1">
                  <c:v>1290.0999999999999</c:v>
                </c:pt>
                <c:pt idx="2">
                  <c:v>996.5</c:v>
                </c:pt>
                <c:pt idx="3">
                  <c:v>886.2</c:v>
                </c:pt>
                <c:pt idx="4">
                  <c:v>806.5</c:v>
                </c:pt>
                <c:pt idx="5">
                  <c:v>847.2</c:v>
                </c:pt>
                <c:pt idx="6" formatCode="0.0">
                  <c:v>980.2</c:v>
                </c:pt>
                <c:pt idx="7">
                  <c:v>1164.5</c:v>
                </c:pt>
              </c:numCache>
            </c:numRef>
          </c:val>
        </c:ser>
        <c:marker val="1"/>
        <c:axId val="82856192"/>
        <c:axId val="82916096"/>
      </c:lineChart>
      <c:catAx>
        <c:axId val="82856192"/>
        <c:scaling>
          <c:orientation val="minMax"/>
        </c:scaling>
        <c:axPos val="b"/>
        <c:majorGridlines/>
        <c:title>
          <c:tx>
            <c:rich>
              <a:bodyPr/>
              <a:lstStyle/>
              <a:p>
                <a:pPr>
                  <a:defRPr/>
                </a:pPr>
                <a:r>
                  <a:rPr lang="en-US"/>
                  <a:t>Year</a:t>
                </a:r>
              </a:p>
            </c:rich>
          </c:tx>
          <c:layout>
            <c:manualLayout>
              <c:xMode val="edge"/>
              <c:yMode val="edge"/>
              <c:x val="0.51361867704280162"/>
              <c:y val="0.76375404530744362"/>
            </c:manualLayout>
          </c:layout>
        </c:title>
        <c:numFmt formatCode="General" sourceLinked="1"/>
        <c:tickLblPos val="nextTo"/>
        <c:txPr>
          <a:bodyPr rot="0" vert="horz"/>
          <a:lstStyle/>
          <a:p>
            <a:pPr>
              <a:defRPr/>
            </a:pPr>
            <a:endParaRPr lang="ar-SA"/>
          </a:p>
        </c:txPr>
        <c:crossAx val="82916096"/>
        <c:crosses val="autoZero"/>
        <c:auto val="1"/>
        <c:lblAlgn val="ctr"/>
        <c:lblOffset val="100"/>
        <c:tickLblSkip val="1"/>
        <c:tickMarkSkip val="1"/>
      </c:catAx>
      <c:valAx>
        <c:axId val="82916096"/>
        <c:scaling>
          <c:orientation val="minMax"/>
        </c:scaling>
        <c:axPos val="l"/>
        <c:majorGridlines/>
        <c:title>
          <c:tx>
            <c:rich>
              <a:bodyPr/>
              <a:lstStyle/>
              <a:p>
                <a:pPr>
                  <a:defRPr/>
                </a:pPr>
                <a:r>
                  <a:rPr lang="en-US"/>
                  <a:t> GDP Per Capita</a:t>
                </a:r>
              </a:p>
            </c:rich>
          </c:tx>
          <c:layout>
            <c:manualLayout>
              <c:xMode val="edge"/>
              <c:yMode val="edge"/>
              <c:x val="5.8365758754863807E-2"/>
              <c:y val="0.19741100323624594"/>
            </c:manualLayout>
          </c:layout>
        </c:title>
        <c:numFmt formatCode="#,##0" sourceLinked="0"/>
        <c:tickLblPos val="nextTo"/>
        <c:txPr>
          <a:bodyPr rot="0" vert="horz"/>
          <a:lstStyle/>
          <a:p>
            <a:pPr>
              <a:defRPr/>
            </a:pPr>
            <a:endParaRPr lang="ar-SA"/>
          </a:p>
        </c:txPr>
        <c:crossAx val="82856192"/>
        <c:crosses val="autoZero"/>
        <c:crossBetween val="between"/>
      </c:valAx>
    </c:plotArea>
    <c:legend>
      <c:legendPos val="b"/>
      <c:layout>
        <c:manualLayout>
          <c:xMode val="edge"/>
          <c:yMode val="edge"/>
          <c:x val="0.18287937743190671"/>
          <c:y val="0.84466019417475724"/>
          <c:w val="0.75291828793774318"/>
          <c:h val="0.10355987055016182"/>
        </c:manualLayout>
      </c:layout>
    </c:legend>
    <c:plotVisOnly val="1"/>
    <c:dispBlanksAs val="gap"/>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0720720720721233"/>
          <c:y val="4.0677966101694885E-2"/>
          <c:w val="0.77252252252252263"/>
          <c:h val="0.76610169491525471"/>
        </c:manualLayout>
      </c:layout>
      <c:lineChart>
        <c:grouping val="standard"/>
        <c:ser>
          <c:idx val="0"/>
          <c:order val="0"/>
          <c:tx>
            <c:strRef>
              <c:f>Sheet3!$B$78</c:f>
              <c:strCache>
                <c:ptCount val="1"/>
                <c:pt idx="0">
                  <c:v>Total revenue</c:v>
                </c:pt>
              </c:strCache>
            </c:strRef>
          </c:tx>
          <c:marker>
            <c:symbol val="none"/>
          </c:marker>
          <c:dLbls>
            <c:dLbl>
              <c:idx val="0"/>
              <c:layout>
                <c:manualLayout>
                  <c:x val="-3.5242290748898709E-2"/>
                  <c:y val="-2.1857923497267812E-2"/>
                </c:manualLayout>
              </c:layout>
              <c:showVal val="1"/>
            </c:dLbl>
            <c:dLbl>
              <c:idx val="7"/>
              <c:layout>
                <c:manualLayout>
                  <c:x val="0"/>
                  <c:y val="-3.4972677595628415E-2"/>
                </c:manualLayout>
              </c:layout>
              <c:showVal val="1"/>
            </c:dLbl>
            <c:delete val="1"/>
          </c:dLbls>
          <c:cat>
            <c:numRef>
              <c:f>Sheet3!$A$79:$A$86</c:f>
              <c:numCache>
                <c:formatCode>General</c:formatCode>
                <c:ptCount val="8"/>
                <c:pt idx="0">
                  <c:v>2004</c:v>
                </c:pt>
                <c:pt idx="1">
                  <c:v>2005</c:v>
                </c:pt>
                <c:pt idx="2">
                  <c:v>2006</c:v>
                </c:pt>
                <c:pt idx="3">
                  <c:v>2007</c:v>
                </c:pt>
                <c:pt idx="4">
                  <c:v>2008</c:v>
                </c:pt>
                <c:pt idx="5">
                  <c:v>2009</c:v>
                </c:pt>
                <c:pt idx="6">
                  <c:v>2010</c:v>
                </c:pt>
                <c:pt idx="7">
                  <c:v>2011</c:v>
                </c:pt>
              </c:numCache>
            </c:numRef>
          </c:cat>
          <c:val>
            <c:numRef>
              <c:f>Sheet3!$B$79:$B$86</c:f>
              <c:numCache>
                <c:formatCode>#,##0.0</c:formatCode>
                <c:ptCount val="8"/>
                <c:pt idx="0">
                  <c:v>954</c:v>
                </c:pt>
                <c:pt idx="1">
                  <c:v>1233</c:v>
                </c:pt>
                <c:pt idx="2">
                  <c:v>1148</c:v>
                </c:pt>
                <c:pt idx="3">
                  <c:v>1195</c:v>
                </c:pt>
                <c:pt idx="4">
                  <c:v>1765.2</c:v>
                </c:pt>
                <c:pt idx="5">
                  <c:v>1597.5</c:v>
                </c:pt>
                <c:pt idx="6">
                  <c:v>1927.8</c:v>
                </c:pt>
                <c:pt idx="7">
                  <c:v>2044.9</c:v>
                </c:pt>
              </c:numCache>
            </c:numRef>
          </c:val>
        </c:ser>
        <c:ser>
          <c:idx val="1"/>
          <c:order val="1"/>
          <c:tx>
            <c:strRef>
              <c:f>Sheet3!$C$78</c:f>
              <c:strCache>
                <c:ptCount val="1"/>
                <c:pt idx="0">
                  <c:v>Expendture</c:v>
                </c:pt>
              </c:strCache>
            </c:strRef>
          </c:tx>
          <c:spPr>
            <a:ln>
              <a:prstDash val="sysDot"/>
            </a:ln>
          </c:spPr>
          <c:marker>
            <c:symbol val="none"/>
          </c:marker>
          <c:dLbls>
            <c:dLbl>
              <c:idx val="0"/>
              <c:layout>
                <c:manualLayout>
                  <c:x val="-2.3494860499265802E-2"/>
                  <c:y val="-0.10928961748633879"/>
                </c:manualLayout>
              </c:layout>
              <c:showVal val="1"/>
            </c:dLbl>
            <c:dLbl>
              <c:idx val="7"/>
              <c:layout>
                <c:manualLayout>
                  <c:x val="-3.8179148311306942E-2"/>
                  <c:y val="-6.9945355191256789E-2"/>
                </c:manualLayout>
              </c:layout>
              <c:showVal val="1"/>
            </c:dLbl>
            <c:delete val="1"/>
          </c:dLbls>
          <c:cat>
            <c:numRef>
              <c:f>Sheet3!$A$79:$A$86</c:f>
              <c:numCache>
                <c:formatCode>General</c:formatCode>
                <c:ptCount val="8"/>
                <c:pt idx="0">
                  <c:v>2004</c:v>
                </c:pt>
                <c:pt idx="1">
                  <c:v>2005</c:v>
                </c:pt>
                <c:pt idx="2">
                  <c:v>2006</c:v>
                </c:pt>
                <c:pt idx="3">
                  <c:v>2007</c:v>
                </c:pt>
                <c:pt idx="4">
                  <c:v>2008</c:v>
                </c:pt>
                <c:pt idx="5">
                  <c:v>2009</c:v>
                </c:pt>
                <c:pt idx="6">
                  <c:v>2010</c:v>
                </c:pt>
                <c:pt idx="7">
                  <c:v>2011</c:v>
                </c:pt>
              </c:numCache>
            </c:numRef>
          </c:cat>
          <c:val>
            <c:numRef>
              <c:f>Sheet3!$C$79:$C$86</c:f>
              <c:numCache>
                <c:formatCode>#,##0.0</c:formatCode>
                <c:ptCount val="8"/>
                <c:pt idx="0">
                  <c:v>1528</c:v>
                </c:pt>
                <c:pt idx="1">
                  <c:v>1994</c:v>
                </c:pt>
                <c:pt idx="2">
                  <c:v>2310</c:v>
                </c:pt>
                <c:pt idx="3">
                  <c:v>2544</c:v>
                </c:pt>
                <c:pt idx="4">
                  <c:v>2885.6</c:v>
                </c:pt>
                <c:pt idx="5">
                  <c:v>3189.8</c:v>
                </c:pt>
                <c:pt idx="6">
                  <c:v>3076.8</c:v>
                </c:pt>
                <c:pt idx="7">
                  <c:v>3323.2</c:v>
                </c:pt>
              </c:numCache>
            </c:numRef>
          </c:val>
        </c:ser>
        <c:ser>
          <c:idx val="2"/>
          <c:order val="2"/>
          <c:tx>
            <c:strRef>
              <c:f>Sheet3!$D$78</c:f>
              <c:strCache>
                <c:ptCount val="1"/>
                <c:pt idx="0">
                  <c:v>Deficit</c:v>
                </c:pt>
              </c:strCache>
            </c:strRef>
          </c:tx>
          <c:spPr>
            <a:ln>
              <a:prstDash val="dashDot"/>
            </a:ln>
          </c:spPr>
          <c:marker>
            <c:symbol val="none"/>
          </c:marker>
          <c:dLbls>
            <c:dLbl>
              <c:idx val="0"/>
              <c:layout>
                <c:manualLayout>
                  <c:x val="-5.2863436123350697E-2"/>
                  <c:y val="9.6174863387982187E-2"/>
                </c:manualLayout>
              </c:layout>
              <c:showVal val="1"/>
            </c:dLbl>
            <c:dLbl>
              <c:idx val="7"/>
              <c:layout>
                <c:manualLayout>
                  <c:x val="-3.8179148311306942E-2"/>
                  <c:y val="5.2459016393442713E-2"/>
                </c:manualLayout>
              </c:layout>
              <c:showVal val="1"/>
            </c:dLbl>
            <c:delete val="1"/>
          </c:dLbls>
          <c:cat>
            <c:numRef>
              <c:f>Sheet3!$A$79:$A$86</c:f>
              <c:numCache>
                <c:formatCode>General</c:formatCode>
                <c:ptCount val="8"/>
                <c:pt idx="0">
                  <c:v>2004</c:v>
                </c:pt>
                <c:pt idx="1">
                  <c:v>2005</c:v>
                </c:pt>
                <c:pt idx="2">
                  <c:v>2006</c:v>
                </c:pt>
                <c:pt idx="3">
                  <c:v>2007</c:v>
                </c:pt>
                <c:pt idx="4">
                  <c:v>2008</c:v>
                </c:pt>
                <c:pt idx="5">
                  <c:v>2009</c:v>
                </c:pt>
                <c:pt idx="6">
                  <c:v>2010</c:v>
                </c:pt>
                <c:pt idx="7">
                  <c:v>2011</c:v>
                </c:pt>
              </c:numCache>
            </c:numRef>
          </c:cat>
          <c:val>
            <c:numRef>
              <c:f>Sheet3!$D$79:$D$86</c:f>
              <c:numCache>
                <c:formatCode>#,##0.0</c:formatCode>
                <c:ptCount val="8"/>
                <c:pt idx="0">
                  <c:v>-574</c:v>
                </c:pt>
                <c:pt idx="1">
                  <c:v>-761</c:v>
                </c:pt>
                <c:pt idx="2">
                  <c:v>-1162</c:v>
                </c:pt>
                <c:pt idx="3">
                  <c:v>-1349</c:v>
                </c:pt>
                <c:pt idx="4">
                  <c:v>-1120.4000000000001</c:v>
                </c:pt>
                <c:pt idx="5">
                  <c:v>-1592.3</c:v>
                </c:pt>
                <c:pt idx="6">
                  <c:v>-1149</c:v>
                </c:pt>
                <c:pt idx="7">
                  <c:v>-1278.3</c:v>
                </c:pt>
              </c:numCache>
            </c:numRef>
          </c:val>
        </c:ser>
        <c:marker val="1"/>
        <c:axId val="91234688"/>
        <c:axId val="91236608"/>
      </c:lineChart>
      <c:catAx>
        <c:axId val="91234688"/>
        <c:scaling>
          <c:orientation val="minMax"/>
        </c:scaling>
        <c:axPos val="b"/>
        <c:majorGridlines/>
        <c:title>
          <c:tx>
            <c:rich>
              <a:bodyPr/>
              <a:lstStyle/>
              <a:p>
                <a:pPr>
                  <a:defRPr>
                    <a:cs typeface="+mn-cs"/>
                  </a:defRPr>
                </a:pPr>
                <a:r>
                  <a:rPr lang="en-US">
                    <a:cs typeface="+mn-cs"/>
                  </a:rPr>
                  <a:t>Year</a:t>
                </a:r>
              </a:p>
            </c:rich>
          </c:tx>
          <c:layout>
            <c:manualLayout>
              <c:xMode val="edge"/>
              <c:yMode val="edge"/>
              <c:x val="0.54214591595742201"/>
              <c:y val="0.83353126251442144"/>
            </c:manualLayout>
          </c:layout>
        </c:title>
        <c:numFmt formatCode="General" sourceLinked="1"/>
        <c:tickLblPos val="nextTo"/>
        <c:txPr>
          <a:bodyPr rot="0" vert="horz"/>
          <a:lstStyle/>
          <a:p>
            <a:pPr>
              <a:defRPr/>
            </a:pPr>
            <a:endParaRPr lang="ar-SA"/>
          </a:p>
        </c:txPr>
        <c:crossAx val="91236608"/>
        <c:crosses val="autoZero"/>
        <c:auto val="1"/>
        <c:lblAlgn val="ctr"/>
        <c:lblOffset val="100"/>
        <c:tickLblSkip val="1"/>
        <c:tickMarkSkip val="1"/>
      </c:catAx>
      <c:valAx>
        <c:axId val="91236608"/>
        <c:scaling>
          <c:orientation val="minMax"/>
        </c:scaling>
        <c:axPos val="l"/>
        <c:majorGridlines/>
        <c:title>
          <c:tx>
            <c:rich>
              <a:bodyPr/>
              <a:lstStyle/>
              <a:p>
                <a:pPr>
                  <a:defRPr sz="900">
                    <a:cs typeface="+mn-cs"/>
                  </a:defRPr>
                </a:pPr>
                <a:r>
                  <a:rPr lang="en-US" sz="900">
                    <a:cs typeface="+mn-cs"/>
                  </a:rPr>
                  <a:t>General budget</a:t>
                </a:r>
              </a:p>
            </c:rich>
          </c:tx>
          <c:layout>
            <c:manualLayout>
              <c:xMode val="edge"/>
              <c:yMode val="edge"/>
              <c:x val="1.4799154334038203E-2"/>
              <c:y val="0.32996632996634212"/>
            </c:manualLayout>
          </c:layout>
        </c:title>
        <c:numFmt formatCode="#,##0" sourceLinked="0"/>
        <c:tickLblPos val="nextTo"/>
        <c:txPr>
          <a:bodyPr rot="0" vert="horz"/>
          <a:lstStyle/>
          <a:p>
            <a:pPr>
              <a:defRPr/>
            </a:pPr>
            <a:endParaRPr lang="ar-SA"/>
          </a:p>
        </c:txPr>
        <c:crossAx val="91234688"/>
        <c:crosses val="autoZero"/>
        <c:crossBetween val="between"/>
      </c:valAx>
    </c:plotArea>
    <c:legend>
      <c:legendPos val="b"/>
      <c:layout>
        <c:manualLayout>
          <c:xMode val="edge"/>
          <c:yMode val="edge"/>
          <c:x val="0.19144144144145181"/>
          <c:y val="0.88813559322033897"/>
          <c:w val="0.68243243243243268"/>
          <c:h val="7.4576271186443707E-2"/>
        </c:manualLayout>
      </c:layout>
      <c:txPr>
        <a:bodyPr/>
        <a:lstStyle/>
        <a:p>
          <a:pPr>
            <a:defRPr sz="900"/>
          </a:pPr>
          <a:endParaRPr lang="ar-SA"/>
        </a:p>
      </c:txPr>
    </c:legend>
    <c:plotVisOnly val="1"/>
    <c:dispBlanksAs val="gap"/>
  </c:chart>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95633187774749"/>
          <c:y val="4.7297297297297834E-2"/>
          <c:w val="0.79039301310043664"/>
          <c:h val="0.75337837837841182"/>
        </c:manualLayout>
      </c:layout>
      <c:lineChart>
        <c:grouping val="standard"/>
        <c:ser>
          <c:idx val="0"/>
          <c:order val="0"/>
          <c:tx>
            <c:strRef>
              <c:f>Sheet1!$I$1</c:f>
              <c:strCache>
                <c:ptCount val="1"/>
                <c:pt idx="0">
                  <c:v>السنة</c:v>
                </c:pt>
              </c:strCache>
            </c:strRef>
          </c:tx>
          <c:spPr>
            <a:ln w="12699">
              <a:solidFill>
                <a:srgbClr val="000000"/>
              </a:solidFill>
              <a:prstDash val="solid"/>
            </a:ln>
          </c:spPr>
          <c:marker>
            <c:symbol val="none"/>
          </c:marker>
          <c:dLbls>
            <c:dLbl>
              <c:idx val="0"/>
              <c:numFmt formatCode="#,##0" sourceLinked="0"/>
              <c:spPr>
                <a:noFill/>
                <a:ln w="25398">
                  <a:noFill/>
                </a:ln>
              </c:spPr>
              <c:txPr>
                <a:bodyPr/>
                <a:lstStyle/>
                <a:p>
                  <a:pPr>
                    <a:defRPr lang="ar-SA" sz="900" b="0" i="0" u="none" strike="noStrike" baseline="0">
                      <a:solidFill>
                        <a:srgbClr val="000000"/>
                      </a:solidFill>
                      <a:latin typeface="Arial"/>
                      <a:ea typeface="Arial"/>
                      <a:cs typeface="Arial"/>
                    </a:defRPr>
                  </a:pPr>
                  <a:endParaRPr lang="ar-SA"/>
                </a:p>
              </c:txPr>
              <c:showVal val="1"/>
            </c:dLbl>
            <c:dLbl>
              <c:idx val="6"/>
              <c:numFmt formatCode="#,##0" sourceLinked="0"/>
              <c:spPr>
                <a:noFill/>
                <a:ln w="25398">
                  <a:noFill/>
                </a:ln>
              </c:spPr>
              <c:txPr>
                <a:bodyPr/>
                <a:lstStyle/>
                <a:p>
                  <a:pPr>
                    <a:defRPr lang="ar-SA" sz="900" b="0" i="0" u="none" strike="noStrike" baseline="0">
                      <a:solidFill>
                        <a:srgbClr val="000000"/>
                      </a:solidFill>
                      <a:latin typeface="Arial"/>
                      <a:ea typeface="Arial"/>
                      <a:cs typeface="Arial"/>
                    </a:defRPr>
                  </a:pPr>
                  <a:endParaRPr lang="ar-SA"/>
                </a:p>
              </c:txPr>
              <c:showVal val="1"/>
            </c:dLbl>
            <c:delete val="1"/>
          </c:dLbls>
          <c:cat>
            <c:numRef>
              <c:f>Sheet1!$I$2:$I$9</c:f>
              <c:numCache>
                <c:formatCode>General</c:formatCode>
                <c:ptCount val="8"/>
                <c:pt idx="0">
                  <c:v>2004</c:v>
                </c:pt>
                <c:pt idx="1">
                  <c:v>2005</c:v>
                </c:pt>
                <c:pt idx="2">
                  <c:v>2006</c:v>
                </c:pt>
                <c:pt idx="3">
                  <c:v>2007</c:v>
                </c:pt>
                <c:pt idx="4">
                  <c:v>2008</c:v>
                </c:pt>
                <c:pt idx="5">
                  <c:v>2009</c:v>
                </c:pt>
                <c:pt idx="6">
                  <c:v>2010</c:v>
                </c:pt>
                <c:pt idx="7">
                  <c:v>2011</c:v>
                </c:pt>
              </c:numCache>
            </c:numRef>
          </c:cat>
          <c:val>
            <c:numRef>
              <c:f>Sheet1!$I$2:$I$9</c:f>
              <c:numCache>
                <c:formatCode>General</c:formatCode>
                <c:ptCount val="8"/>
                <c:pt idx="0">
                  <c:v>2004</c:v>
                </c:pt>
                <c:pt idx="1">
                  <c:v>2005</c:v>
                </c:pt>
                <c:pt idx="2">
                  <c:v>2006</c:v>
                </c:pt>
                <c:pt idx="3">
                  <c:v>2007</c:v>
                </c:pt>
                <c:pt idx="4">
                  <c:v>2008</c:v>
                </c:pt>
                <c:pt idx="5">
                  <c:v>2009</c:v>
                </c:pt>
                <c:pt idx="6">
                  <c:v>2010</c:v>
                </c:pt>
                <c:pt idx="7">
                  <c:v>2011</c:v>
                </c:pt>
              </c:numCache>
            </c:numRef>
          </c:val>
        </c:ser>
        <c:ser>
          <c:idx val="1"/>
          <c:order val="1"/>
          <c:tx>
            <c:strRef>
              <c:f>Sheet1!$J$1</c:f>
              <c:strCache>
                <c:ptCount val="1"/>
                <c:pt idx="0">
                  <c:v>عدد الرخص</c:v>
                </c:pt>
              </c:strCache>
            </c:strRef>
          </c:tx>
          <c:marker>
            <c:symbol val="none"/>
          </c:marker>
          <c:dLbls>
            <c:dLbl>
              <c:idx val="1"/>
              <c:delete val="1"/>
            </c:dLbl>
            <c:dLbl>
              <c:idx val="2"/>
              <c:delete val="1"/>
            </c:dLbl>
            <c:dLbl>
              <c:idx val="3"/>
              <c:delete val="1"/>
            </c:dLbl>
            <c:dLbl>
              <c:idx val="4"/>
              <c:delete val="1"/>
            </c:dLbl>
            <c:dLbl>
              <c:idx val="5"/>
              <c:delete val="1"/>
            </c:dLbl>
            <c:dLbl>
              <c:idx val="6"/>
              <c:delete val="1"/>
            </c:dLbl>
            <c:dLbl>
              <c:idx val="7"/>
              <c:layout>
                <c:manualLayout>
                  <c:x val="-2.6063001260775882E-2"/>
                  <c:y val="3.8671041119860153E-2"/>
                </c:manualLayout>
              </c:layout>
              <c:dLblPos val="r"/>
              <c:showVal val="1"/>
            </c:dLbl>
            <c:txPr>
              <a:bodyPr/>
              <a:lstStyle/>
              <a:p>
                <a:pPr>
                  <a:defRPr lang="ar-SA"/>
                </a:pPr>
                <a:endParaRPr lang="ar-SA"/>
              </a:p>
            </c:txPr>
            <c:showVal val="1"/>
          </c:dLbls>
          <c:cat>
            <c:numRef>
              <c:f>Sheet1!$I$2:$I$9</c:f>
              <c:numCache>
                <c:formatCode>General</c:formatCode>
                <c:ptCount val="8"/>
                <c:pt idx="0">
                  <c:v>2004</c:v>
                </c:pt>
                <c:pt idx="1">
                  <c:v>2005</c:v>
                </c:pt>
                <c:pt idx="2">
                  <c:v>2006</c:v>
                </c:pt>
                <c:pt idx="3">
                  <c:v>2007</c:v>
                </c:pt>
                <c:pt idx="4">
                  <c:v>2008</c:v>
                </c:pt>
                <c:pt idx="5">
                  <c:v>2009</c:v>
                </c:pt>
                <c:pt idx="6">
                  <c:v>2010</c:v>
                </c:pt>
                <c:pt idx="7">
                  <c:v>2011</c:v>
                </c:pt>
              </c:numCache>
            </c:numRef>
          </c:cat>
          <c:val>
            <c:numRef>
              <c:f>Sheet1!$J$2:$J$9</c:f>
              <c:numCache>
                <c:formatCode>#,##0</c:formatCode>
                <c:ptCount val="8"/>
                <c:pt idx="0">
                  <c:v>5008</c:v>
                </c:pt>
                <c:pt idx="1">
                  <c:v>7108</c:v>
                </c:pt>
                <c:pt idx="2">
                  <c:v>6061</c:v>
                </c:pt>
                <c:pt idx="3">
                  <c:v>4488</c:v>
                </c:pt>
                <c:pt idx="4">
                  <c:v>4546</c:v>
                </c:pt>
                <c:pt idx="5">
                  <c:v>5383</c:v>
                </c:pt>
                <c:pt idx="6">
                  <c:v>6332</c:v>
                </c:pt>
                <c:pt idx="7">
                  <c:v>7708</c:v>
                </c:pt>
              </c:numCache>
            </c:numRef>
          </c:val>
        </c:ser>
        <c:marker val="1"/>
        <c:axId val="91521408"/>
        <c:axId val="91523328"/>
      </c:lineChart>
      <c:catAx>
        <c:axId val="91521408"/>
        <c:scaling>
          <c:orientation val="minMax"/>
        </c:scaling>
        <c:axPos val="b"/>
        <c:majorGridlines>
          <c:spPr>
            <a:ln w="3175">
              <a:solidFill>
                <a:srgbClr val="000000"/>
              </a:solidFill>
              <a:prstDash val="solid"/>
            </a:ln>
          </c:spPr>
        </c:majorGridlines>
        <c:title>
          <c:tx>
            <c:rich>
              <a:bodyPr/>
              <a:lstStyle/>
              <a:p>
                <a:pPr>
                  <a:defRPr lang="ar-SA" sz="900" b="1" i="0" u="none" strike="noStrike" baseline="0">
                    <a:solidFill>
                      <a:srgbClr val="000000"/>
                    </a:solidFill>
                    <a:latin typeface="Arial"/>
                    <a:ea typeface="Arial"/>
                    <a:cs typeface="Arial"/>
                  </a:defRPr>
                </a:pPr>
                <a:r>
                  <a:rPr lang="en-US" sz="900"/>
                  <a:t>Year</a:t>
                </a:r>
                <a:endParaRPr lang="ar-SA" sz="900"/>
              </a:p>
            </c:rich>
          </c:tx>
          <c:layout>
            <c:manualLayout>
              <c:xMode val="edge"/>
              <c:yMode val="edge"/>
              <c:x val="0.54148468941382333"/>
              <c:y val="0.89189188045043355"/>
            </c:manualLayout>
          </c:layout>
          <c:spPr>
            <a:noFill/>
            <a:ln w="25398">
              <a:noFill/>
            </a:ln>
          </c:spPr>
        </c:title>
        <c:numFmt formatCode="General" sourceLinked="1"/>
        <c:tickLblPos val="nextTo"/>
        <c:spPr>
          <a:ln w="3175">
            <a:solidFill>
              <a:srgbClr val="000000"/>
            </a:solidFill>
            <a:prstDash val="solid"/>
          </a:ln>
        </c:spPr>
        <c:txPr>
          <a:bodyPr rot="0" vert="horz"/>
          <a:lstStyle/>
          <a:p>
            <a:pPr>
              <a:defRPr lang="ar-SA" sz="925" b="0" i="0" u="none" strike="noStrike" baseline="0">
                <a:solidFill>
                  <a:srgbClr val="000000"/>
                </a:solidFill>
                <a:latin typeface="Arial"/>
                <a:ea typeface="Arial"/>
                <a:cs typeface="Arial"/>
              </a:defRPr>
            </a:pPr>
            <a:endParaRPr lang="ar-SA"/>
          </a:p>
        </c:txPr>
        <c:crossAx val="91523328"/>
        <c:crosses val="autoZero"/>
        <c:auto val="1"/>
        <c:lblAlgn val="ctr"/>
        <c:lblOffset val="100"/>
        <c:tickLblSkip val="1"/>
        <c:tickMarkSkip val="1"/>
      </c:catAx>
      <c:valAx>
        <c:axId val="91523328"/>
        <c:scaling>
          <c:orientation val="minMax"/>
          <c:min val="3000"/>
        </c:scaling>
        <c:axPos val="l"/>
        <c:majorGridlines>
          <c:spPr>
            <a:ln w="3175">
              <a:solidFill>
                <a:srgbClr val="000000"/>
              </a:solidFill>
              <a:prstDash val="solid"/>
            </a:ln>
          </c:spPr>
        </c:majorGridlines>
        <c:title>
          <c:tx>
            <c:rich>
              <a:bodyPr/>
              <a:lstStyle/>
              <a:p>
                <a:pPr>
                  <a:defRPr lang="ar-SA" sz="925" b="1" i="0" u="none" strike="noStrike" baseline="0">
                    <a:solidFill>
                      <a:srgbClr val="000000"/>
                    </a:solidFill>
                    <a:latin typeface="Simplified Arabic"/>
                    <a:ea typeface="Simplified Arabic"/>
                    <a:cs typeface="Simplified Arabic"/>
                  </a:defRPr>
                </a:pPr>
                <a:r>
                  <a:rPr lang="en-US"/>
                  <a:t>Number of issued </a:t>
                </a:r>
                <a:r>
                  <a:rPr lang="en-US" sz="900">
                    <a:cs typeface="+mn-cs"/>
                  </a:rPr>
                  <a:t>licenses</a:t>
                </a:r>
                <a:endParaRPr lang="ar-SA" sz="900">
                  <a:cs typeface="+mn-cs"/>
                </a:endParaRPr>
              </a:p>
            </c:rich>
          </c:tx>
          <c:layout>
            <c:manualLayout>
              <c:xMode val="edge"/>
              <c:yMode val="edge"/>
              <c:x val="1.5283921951319383E-2"/>
              <c:y val="0.10698206474190723"/>
            </c:manualLayout>
          </c:layout>
          <c:spPr>
            <a:noFill/>
            <a:ln w="25398">
              <a:noFill/>
            </a:ln>
          </c:spPr>
        </c:title>
        <c:numFmt formatCode="General" sourceLinked="1"/>
        <c:tickLblPos val="nextTo"/>
        <c:spPr>
          <a:ln w="3175">
            <a:solidFill>
              <a:srgbClr val="000000"/>
            </a:solidFill>
            <a:prstDash val="solid"/>
          </a:ln>
        </c:spPr>
        <c:txPr>
          <a:bodyPr rot="0" vert="horz"/>
          <a:lstStyle/>
          <a:p>
            <a:pPr>
              <a:defRPr lang="ar-SA" sz="925" b="0" i="0" u="none" strike="noStrike" baseline="0">
                <a:solidFill>
                  <a:srgbClr val="000000"/>
                </a:solidFill>
                <a:latin typeface="Arial"/>
                <a:ea typeface="Arial"/>
                <a:cs typeface="Arial"/>
              </a:defRPr>
            </a:pPr>
            <a:endParaRPr lang="ar-SA"/>
          </a:p>
        </c:txPr>
        <c:crossAx val="91521408"/>
        <c:crosses val="autoZero"/>
        <c:crossBetween val="between"/>
      </c:valAx>
      <c:spPr>
        <a:solidFill>
          <a:srgbClr val="FFFFFF"/>
        </a:solidFill>
        <a:ln w="12699">
          <a:solidFill>
            <a:srgbClr val="808080"/>
          </a:solidFill>
          <a:prstDash val="solid"/>
        </a:ln>
      </c:spPr>
    </c:plotArea>
    <c:plotVisOnly val="1"/>
    <c:dispBlanksAs val="gap"/>
  </c:chart>
  <c:spPr>
    <a:solidFill>
      <a:srgbClr val="FFFFFF"/>
    </a:solidFill>
    <a:ln w="3175">
      <a:solidFill>
        <a:srgbClr val="000000"/>
      </a:solidFill>
      <a:prstDash val="solid"/>
    </a:ln>
  </c:spPr>
  <c:txPr>
    <a:bodyPr/>
    <a:lstStyle/>
    <a:p>
      <a:pPr>
        <a:defRPr sz="1025" b="0" i="0" u="none" strike="noStrike" baseline="0">
          <a:solidFill>
            <a:srgbClr val="000000"/>
          </a:solidFill>
          <a:latin typeface="Simplified Arabic"/>
          <a:ea typeface="Simplified Arabic"/>
          <a:cs typeface="Simplified Arabic"/>
        </a:defRPr>
      </a:pPr>
      <a:endParaRPr lang="ar-SA"/>
    </a:p>
  </c:txPr>
  <c:externalData r:id="rId2"/>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000000000000024"/>
          <c:y val="7.7192982456145295E-2"/>
          <c:w val="0.83200000000000063"/>
          <c:h val="0.64912280701754665"/>
        </c:manualLayout>
      </c:layout>
      <c:lineChart>
        <c:grouping val="standard"/>
        <c:ser>
          <c:idx val="1"/>
          <c:order val="0"/>
          <c:tx>
            <c:strRef>
              <c:f>Sheet1!$E$11</c:f>
              <c:strCache>
                <c:ptCount val="1"/>
                <c:pt idx="0">
                  <c:v>West Bank</c:v>
                </c:pt>
              </c:strCache>
            </c:strRef>
          </c:tx>
          <c:marker>
            <c:symbol val="none"/>
          </c:marker>
          <c:cat>
            <c:numRef>
              <c:f>Sheet1!$F$10:$M$10</c:f>
              <c:numCache>
                <c:formatCode>0</c:formatCode>
                <c:ptCount val="8"/>
                <c:pt idx="0">
                  <c:v>2004</c:v>
                </c:pt>
                <c:pt idx="1">
                  <c:v>2005</c:v>
                </c:pt>
                <c:pt idx="2">
                  <c:v>2006</c:v>
                </c:pt>
                <c:pt idx="3">
                  <c:v>2007</c:v>
                </c:pt>
                <c:pt idx="4">
                  <c:v>2008</c:v>
                </c:pt>
                <c:pt idx="5">
                  <c:v>2009</c:v>
                </c:pt>
                <c:pt idx="6">
                  <c:v>2010</c:v>
                </c:pt>
                <c:pt idx="7">
                  <c:v>2011</c:v>
                </c:pt>
              </c:numCache>
            </c:numRef>
          </c:cat>
          <c:val>
            <c:numRef>
              <c:f>Sheet1!$F$11:$M$11</c:f>
              <c:numCache>
                <c:formatCode>0.0</c:formatCode>
                <c:ptCount val="8"/>
                <c:pt idx="0">
                  <c:v>832.8</c:v>
                </c:pt>
                <c:pt idx="1">
                  <c:v>1129.8</c:v>
                </c:pt>
                <c:pt idx="2">
                  <c:v>1101.0999999999999</c:v>
                </c:pt>
                <c:pt idx="3">
                  <c:v>1067.8</c:v>
                </c:pt>
                <c:pt idx="4">
                  <c:v>977.6</c:v>
                </c:pt>
                <c:pt idx="5">
                  <c:v>1230</c:v>
                </c:pt>
                <c:pt idx="6">
                  <c:v>1340.1</c:v>
                </c:pt>
                <c:pt idx="7">
                  <c:v>1281.8</c:v>
                </c:pt>
              </c:numCache>
            </c:numRef>
          </c:val>
        </c:ser>
        <c:ser>
          <c:idx val="2"/>
          <c:order val="1"/>
          <c:tx>
            <c:strRef>
              <c:f>Sheet1!$E$12</c:f>
              <c:strCache>
                <c:ptCount val="1"/>
                <c:pt idx="0">
                  <c:v>Gaza Strip</c:v>
                </c:pt>
              </c:strCache>
            </c:strRef>
          </c:tx>
          <c:spPr>
            <a:ln>
              <a:prstDash val="sysDot"/>
            </a:ln>
          </c:spPr>
          <c:marker>
            <c:symbol val="none"/>
          </c:marker>
          <c:cat>
            <c:numRef>
              <c:f>Sheet1!$F$10:$M$10</c:f>
              <c:numCache>
                <c:formatCode>0</c:formatCode>
                <c:ptCount val="8"/>
                <c:pt idx="0">
                  <c:v>2004</c:v>
                </c:pt>
                <c:pt idx="1">
                  <c:v>2005</c:v>
                </c:pt>
                <c:pt idx="2">
                  <c:v>2006</c:v>
                </c:pt>
                <c:pt idx="3">
                  <c:v>2007</c:v>
                </c:pt>
                <c:pt idx="4">
                  <c:v>2008</c:v>
                </c:pt>
                <c:pt idx="5">
                  <c:v>2009</c:v>
                </c:pt>
                <c:pt idx="6">
                  <c:v>2010</c:v>
                </c:pt>
                <c:pt idx="7">
                  <c:v>2011</c:v>
                </c:pt>
              </c:numCache>
            </c:numRef>
          </c:cat>
          <c:val>
            <c:numRef>
              <c:f>Sheet1!$F$12:$M$12</c:f>
              <c:numCache>
                <c:formatCode>0.0</c:formatCode>
                <c:ptCount val="8"/>
                <c:pt idx="0">
                  <c:v>453.94600000000003</c:v>
                </c:pt>
                <c:pt idx="1">
                  <c:v>619.10400000000004</c:v>
                </c:pt>
                <c:pt idx="2">
                  <c:v>269.67572999999999</c:v>
                </c:pt>
                <c:pt idx="3">
                  <c:v>226.53700000000001</c:v>
                </c:pt>
                <c:pt idx="4">
                  <c:v>15.341000000000001</c:v>
                </c:pt>
                <c:pt idx="5">
                  <c:v>0</c:v>
                </c:pt>
                <c:pt idx="6">
                  <c:v>4.258</c:v>
                </c:pt>
                <c:pt idx="7">
                  <c:v>44.6</c:v>
                </c:pt>
              </c:numCache>
            </c:numRef>
          </c:val>
        </c:ser>
        <c:marker val="1"/>
        <c:axId val="91801856"/>
        <c:axId val="91808128"/>
      </c:lineChart>
      <c:catAx>
        <c:axId val="91801856"/>
        <c:scaling>
          <c:orientation val="minMax"/>
        </c:scaling>
        <c:axPos val="b"/>
        <c:majorGridlines/>
        <c:title>
          <c:tx>
            <c:rich>
              <a:bodyPr/>
              <a:lstStyle/>
              <a:p>
                <a:pPr>
                  <a:defRPr lang="ar-SA" sz="900" b="1" i="0" u="none" strike="noStrike" baseline="0">
                    <a:solidFill>
                      <a:srgbClr val="000000"/>
                    </a:solidFill>
                    <a:latin typeface="Arial"/>
                    <a:ea typeface="Arial"/>
                    <a:cs typeface="Arial"/>
                  </a:defRPr>
                </a:pPr>
                <a:r>
                  <a:rPr lang="en-US" sz="900"/>
                  <a:t> Year</a:t>
                </a:r>
                <a:endParaRPr lang="ar-SA" sz="900"/>
              </a:p>
            </c:rich>
          </c:tx>
          <c:layout>
            <c:manualLayout>
              <c:xMode val="edge"/>
              <c:yMode val="edge"/>
              <c:x val="0.54"/>
              <c:y val="0.82807015402144502"/>
            </c:manualLayout>
          </c:layout>
        </c:title>
        <c:numFmt formatCode="0" sourceLinked="1"/>
        <c:tickLblPos val="nextTo"/>
        <c:txPr>
          <a:bodyPr rot="0" vert="horz"/>
          <a:lstStyle/>
          <a:p>
            <a:pPr>
              <a:defRPr lang="ar-SA"/>
            </a:pPr>
            <a:endParaRPr lang="ar-SA"/>
          </a:p>
        </c:txPr>
        <c:crossAx val="91808128"/>
        <c:crosses val="autoZero"/>
        <c:auto val="1"/>
        <c:lblAlgn val="ctr"/>
        <c:lblOffset val="100"/>
        <c:tickLblSkip val="1"/>
        <c:tickMarkSkip val="1"/>
      </c:catAx>
      <c:valAx>
        <c:axId val="91808128"/>
        <c:scaling>
          <c:orientation val="minMax"/>
        </c:scaling>
        <c:axPos val="l"/>
        <c:majorGridlines/>
        <c:title>
          <c:tx>
            <c:rich>
              <a:bodyPr/>
              <a:lstStyle/>
              <a:p>
                <a:pPr>
                  <a:defRPr lang="ar-SA" sz="900" b="1" i="0" u="none" strike="noStrike" baseline="0">
                    <a:solidFill>
                      <a:srgbClr val="000000"/>
                    </a:solidFill>
                    <a:latin typeface="Arial"/>
                    <a:ea typeface="Arial"/>
                    <a:cs typeface="Arial"/>
                  </a:defRPr>
                </a:pPr>
                <a:r>
                  <a:rPr lang="en-US" sz="900"/>
                  <a:t>Cement amount (in thousand tons)</a:t>
                </a:r>
                <a:endParaRPr lang="ar-SA" sz="900"/>
              </a:p>
            </c:rich>
          </c:tx>
          <c:layout>
            <c:manualLayout>
              <c:xMode val="edge"/>
              <c:yMode val="edge"/>
              <c:x val="1.0562106098049763E-2"/>
              <c:y val="0.12574842571371353"/>
            </c:manualLayout>
          </c:layout>
        </c:title>
        <c:numFmt formatCode="0" sourceLinked="0"/>
        <c:tickLblPos val="nextTo"/>
        <c:txPr>
          <a:bodyPr rot="0" vert="horz"/>
          <a:lstStyle/>
          <a:p>
            <a:pPr>
              <a:defRPr lang="ar-SA"/>
            </a:pPr>
            <a:endParaRPr lang="ar-SA"/>
          </a:p>
        </c:txPr>
        <c:crossAx val="91801856"/>
        <c:crosses val="autoZero"/>
        <c:crossBetween val="between"/>
      </c:valAx>
    </c:plotArea>
    <c:legend>
      <c:legendPos val="r"/>
      <c:layout>
        <c:manualLayout>
          <c:xMode val="edge"/>
          <c:yMode val="edge"/>
          <c:x val="0.25899995898950134"/>
          <c:y val="0.89473682068811788"/>
          <c:w val="0.49700008202099738"/>
          <c:h val="8.0701947140328092E-2"/>
        </c:manualLayout>
      </c:layout>
      <c:txPr>
        <a:bodyPr/>
        <a:lstStyle/>
        <a:p>
          <a:pPr>
            <a:defRPr lang="ar-SA"/>
          </a:pPr>
          <a:endParaRPr lang="ar-SA"/>
        </a:p>
      </c:txPr>
    </c:legend>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pie3DChart>
        <c:varyColors val="1"/>
        <c:ser>
          <c:idx val="0"/>
          <c:order val="0"/>
          <c:dLbls>
            <c:dLbl>
              <c:idx val="0"/>
              <c:layout>
                <c:manualLayout>
                  <c:x val="-7.7440608385490273E-2"/>
                  <c:y val="-6.5720466949999584E-2"/>
                </c:manualLayout>
              </c:layout>
              <c:dLblPos val="bestFit"/>
              <c:showCatName val="1"/>
              <c:showPercent val="1"/>
            </c:dLbl>
            <c:dLbl>
              <c:idx val="1"/>
              <c:tx>
                <c:rich>
                  <a:bodyPr/>
                  <a:lstStyle/>
                  <a:p>
                    <a:r>
                      <a:rPr lang="en-US" sz="700"/>
                      <a:t>M</a:t>
                    </a:r>
                    <a:r>
                      <a:rPr lang="en-US"/>
                      <a:t>anufacturing
14.2%</a:t>
                    </a:r>
                  </a:p>
                </c:rich>
              </c:tx>
              <c:dLblPos val="bestFit"/>
              <c:showCatName val="1"/>
              <c:showPercent val="1"/>
            </c:dLbl>
            <c:dLbl>
              <c:idx val="3"/>
              <c:layout>
                <c:manualLayout>
                  <c:x val="0"/>
                  <c:y val="0.15830968995735129"/>
                </c:manualLayout>
              </c:layout>
              <c:dLblPos val="bestFit"/>
              <c:showCatName val="1"/>
              <c:showPercent val="1"/>
            </c:dLbl>
            <c:dLbl>
              <c:idx val="4"/>
              <c:layout>
                <c:manualLayout>
                  <c:x val="-3.1044688418714342E-2"/>
                  <c:y val="8.483328342824252E-2"/>
                </c:manualLayout>
              </c:layout>
              <c:dLblPos val="bestFit"/>
              <c:showCatName val="1"/>
              <c:showPercent val="1"/>
            </c:dLbl>
            <c:dLbl>
              <c:idx val="6"/>
              <c:layout>
                <c:manualLayout>
                  <c:x val="-5.3133976033532433E-2"/>
                  <c:y val="9.426915001559814E-3"/>
                </c:manualLayout>
              </c:layout>
              <c:tx>
                <c:rich>
                  <a:bodyPr/>
                  <a:lstStyle/>
                  <a:p>
                    <a:r>
                      <a:rPr lang="en-US"/>
                      <a:t>information and Communicatio-n 
8.9%</a:t>
                    </a:r>
                  </a:p>
                </c:rich>
              </c:tx>
              <c:dLblPos val="bestFit"/>
              <c:showCatName val="1"/>
              <c:showPercent val="1"/>
            </c:dLbl>
            <c:dLbl>
              <c:idx val="7"/>
              <c:layout>
                <c:manualLayout>
                  <c:x val="1.3125920506478509E-2"/>
                  <c:y val="0.12663316088103296"/>
                </c:manualLayout>
              </c:layout>
              <c:dLblPos val="bestFit"/>
              <c:showCatName val="1"/>
              <c:showPercent val="1"/>
            </c:dLbl>
            <c:dLbl>
              <c:idx val="9"/>
              <c:layout>
                <c:manualLayout>
                  <c:x val="3.0344235816676852E-2"/>
                  <c:y val="-0.13028739608385773"/>
                </c:manualLayout>
              </c:layout>
              <c:dLblPos val="bestFit"/>
              <c:showCatName val="1"/>
              <c:showPercent val="1"/>
            </c:dLbl>
            <c:numFmt formatCode="0.0%" sourceLinked="0"/>
            <c:txPr>
              <a:bodyPr/>
              <a:lstStyle/>
              <a:p>
                <a:pPr>
                  <a:defRPr sz="700"/>
                </a:pPr>
                <a:endParaRPr lang="ar-SA"/>
              </a:p>
            </c:txPr>
            <c:dLblPos val="bestFit"/>
            <c:showCatName val="1"/>
            <c:showPercent val="1"/>
            <c:showLeaderLines val="1"/>
          </c:dLbls>
          <c:cat>
            <c:strRef>
              <c:f>Sheet1!$B$84:$B$93</c:f>
              <c:strCache>
                <c:ptCount val="10"/>
                <c:pt idx="0">
                  <c:v>Agriculture and fishing</c:v>
                </c:pt>
                <c:pt idx="1">
                  <c:v>Manufacturing</c:v>
                </c:pt>
                <c:pt idx="2">
                  <c:v>Construction </c:v>
                </c:pt>
                <c:pt idx="3">
                  <c:v>Whole sale &amp; Ratail Trade </c:v>
                </c:pt>
                <c:pt idx="4">
                  <c:v>Transport, Storage  </c:v>
                </c:pt>
                <c:pt idx="5">
                  <c:v>Financial activity</c:v>
                </c:pt>
                <c:pt idx="6">
                  <c:v>information and Communication </c:v>
                </c:pt>
                <c:pt idx="7">
                  <c:v>Services </c:v>
                </c:pt>
                <c:pt idx="8">
                  <c:v>Public administration and defense</c:v>
                </c:pt>
                <c:pt idx="9">
                  <c:v>Other</c:v>
                </c:pt>
              </c:strCache>
            </c:strRef>
          </c:cat>
          <c:val>
            <c:numRef>
              <c:f>Sheet1!$C$84:$C$93</c:f>
              <c:numCache>
                <c:formatCode>#,##0.0</c:formatCode>
                <c:ptCount val="10"/>
                <c:pt idx="0">
                  <c:v>219.4</c:v>
                </c:pt>
                <c:pt idx="1">
                  <c:v>635.20000000000005</c:v>
                </c:pt>
                <c:pt idx="2">
                  <c:v>447.4</c:v>
                </c:pt>
                <c:pt idx="3">
                  <c:v>423</c:v>
                </c:pt>
                <c:pt idx="4">
                  <c:v>110.8</c:v>
                </c:pt>
                <c:pt idx="5">
                  <c:v>265.10000000000002</c:v>
                </c:pt>
                <c:pt idx="6">
                  <c:v>400</c:v>
                </c:pt>
                <c:pt idx="7">
                  <c:v>802.5</c:v>
                </c:pt>
                <c:pt idx="8">
                  <c:v>441.1</c:v>
                </c:pt>
                <c:pt idx="9">
                  <c:v>727.9</c:v>
                </c:pt>
              </c:numCache>
            </c:numRef>
          </c:val>
        </c:ser>
        <c:dLbls>
          <c:showCatName val="1"/>
          <c:showPercent val="1"/>
        </c:dLbls>
      </c:pie3D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pie3DChart>
        <c:varyColors val="1"/>
        <c:ser>
          <c:idx val="0"/>
          <c:order val="0"/>
          <c:dLbls>
            <c:dLbl>
              <c:idx val="0"/>
              <c:layout>
                <c:manualLayout>
                  <c:x val="-0.16838885523924887"/>
                  <c:y val="-0.12380150155649162"/>
                </c:manualLayout>
              </c:layout>
              <c:showCatName val="1"/>
              <c:showPercent val="1"/>
            </c:dLbl>
            <c:dLbl>
              <c:idx val="1"/>
              <c:layout>
                <c:manualLayout>
                  <c:x val="-0.13893578415238475"/>
                  <c:y val="-0.16571014397258921"/>
                </c:manualLayout>
              </c:layout>
              <c:tx>
                <c:rich>
                  <a:bodyPr/>
                  <a:lstStyle/>
                  <a:p>
                    <a:r>
                      <a:rPr lang="en-US" sz="700"/>
                      <a:t> </a:t>
                    </a:r>
                    <a:r>
                      <a:rPr lang="en-US"/>
                      <a:t>Manufacturing
8.8%</a:t>
                    </a:r>
                  </a:p>
                </c:rich>
              </c:tx>
              <c:showCatName val="1"/>
              <c:showPercent val="1"/>
            </c:dLbl>
            <c:dLbl>
              <c:idx val="2"/>
              <c:layout>
                <c:manualLayout>
                  <c:x val="-2.1439686903042439E-2"/>
                  <c:y val="-0.12075095264254758"/>
                </c:manualLayout>
              </c:layout>
              <c:showCatName val="1"/>
              <c:showPercent val="1"/>
            </c:dLbl>
            <c:dLbl>
              <c:idx val="3"/>
              <c:layout>
                <c:manualLayout>
                  <c:x val="-4.1589656598391438E-4"/>
                  <c:y val="0.14159830439605331"/>
                </c:manualLayout>
              </c:layout>
              <c:showCatName val="1"/>
              <c:showPercent val="1"/>
            </c:dLbl>
            <c:dLbl>
              <c:idx val="4"/>
              <c:layout>
                <c:manualLayout>
                  <c:x val="-6.0757694677234096E-2"/>
                  <c:y val="0.12946375426921009"/>
                </c:manualLayout>
              </c:layout>
              <c:showCatName val="1"/>
              <c:showPercent val="1"/>
            </c:dLbl>
            <c:dLbl>
              <c:idx val="5"/>
              <c:layout>
                <c:manualLayout>
                  <c:x val="-0.1498696103501532"/>
                  <c:y val="0.20024072304769444"/>
                </c:manualLayout>
              </c:layout>
              <c:showCatName val="1"/>
              <c:showPercent val="1"/>
            </c:dLbl>
            <c:dLbl>
              <c:idx val="6"/>
              <c:layout>
                <c:manualLayout>
                  <c:x val="-0.24960501536519394"/>
                  <c:y val="0.11659823343363378"/>
                </c:manualLayout>
              </c:layout>
              <c:showCatName val="1"/>
              <c:showPercent val="1"/>
            </c:dLbl>
            <c:dLbl>
              <c:idx val="7"/>
              <c:layout>
                <c:manualLayout>
                  <c:x val="-0.10116785241073163"/>
                  <c:y val="0.10652214498292595"/>
                </c:manualLayout>
              </c:layout>
              <c:showCatName val="1"/>
              <c:showPercent val="1"/>
            </c:dLbl>
            <c:dLbl>
              <c:idx val="8"/>
              <c:layout>
                <c:manualLayout>
                  <c:x val="-3.2257062541738497E-2"/>
                  <c:y val="-8.2434928192115522E-2"/>
                </c:manualLayout>
              </c:layout>
              <c:tx>
                <c:rich>
                  <a:bodyPr/>
                  <a:lstStyle/>
                  <a:p>
                    <a:r>
                      <a:rPr lang="en-US" sz="700"/>
                      <a:t>Public administration and defense
</a:t>
                    </a:r>
                    <a:r>
                      <a:rPr lang="en-US"/>
                      <a:t>23.9%</a:t>
                    </a:r>
                  </a:p>
                </c:rich>
              </c:tx>
              <c:showCatName val="1"/>
              <c:showPercent val="1"/>
            </c:dLbl>
            <c:dLbl>
              <c:idx val="9"/>
              <c:tx>
                <c:rich>
                  <a:bodyPr/>
                  <a:lstStyle/>
                  <a:p>
                    <a:r>
                      <a:rPr lang="en-US" sz="700"/>
                      <a:t>O</a:t>
                    </a:r>
                    <a:r>
                      <a:rPr lang="en-US"/>
                      <a:t>ther
2.9%</a:t>
                    </a:r>
                  </a:p>
                </c:rich>
              </c:tx>
              <c:showCatName val="1"/>
              <c:showPercent val="1"/>
            </c:dLbl>
            <c:numFmt formatCode="0.0%" sourceLinked="0"/>
            <c:txPr>
              <a:bodyPr/>
              <a:lstStyle/>
              <a:p>
                <a:pPr>
                  <a:defRPr sz="700"/>
                </a:pPr>
                <a:endParaRPr lang="ar-SA"/>
              </a:p>
            </c:txPr>
            <c:showCatName val="1"/>
            <c:showPercent val="1"/>
            <c:showLeaderLines val="1"/>
          </c:dLbls>
          <c:cat>
            <c:strRef>
              <c:f>Sheet1!$B$97:$B$106</c:f>
              <c:strCache>
                <c:ptCount val="10"/>
                <c:pt idx="0">
                  <c:v>Agriculture and fishing</c:v>
                </c:pt>
                <c:pt idx="1">
                  <c:v> Manufacturing</c:v>
                </c:pt>
                <c:pt idx="2">
                  <c:v>Construction </c:v>
                </c:pt>
                <c:pt idx="3">
                  <c:v>Whole sale &amp; Ratail Trade </c:v>
                </c:pt>
                <c:pt idx="4">
                  <c:v>Transport, Storage   </c:v>
                </c:pt>
                <c:pt idx="5">
                  <c:v>Financial activity</c:v>
                </c:pt>
                <c:pt idx="6">
                  <c:v>information andCommunication </c:v>
                </c:pt>
                <c:pt idx="7">
                  <c:v>Services </c:v>
                </c:pt>
                <c:pt idx="8">
                  <c:v>Public administration and defense</c:v>
                </c:pt>
                <c:pt idx="9">
                  <c:v>Other</c:v>
                </c:pt>
              </c:strCache>
            </c:strRef>
          </c:cat>
          <c:val>
            <c:numRef>
              <c:f>Sheet1!$C$97:$C$106</c:f>
              <c:numCache>
                <c:formatCode>#,##0.0</c:formatCode>
                <c:ptCount val="10"/>
                <c:pt idx="0">
                  <c:v>126.7</c:v>
                </c:pt>
                <c:pt idx="1">
                  <c:v>163.5</c:v>
                </c:pt>
                <c:pt idx="2">
                  <c:v>260.8</c:v>
                </c:pt>
                <c:pt idx="3">
                  <c:v>164</c:v>
                </c:pt>
                <c:pt idx="4">
                  <c:v>22.5</c:v>
                </c:pt>
                <c:pt idx="5">
                  <c:v>33.800000000000004</c:v>
                </c:pt>
                <c:pt idx="6">
                  <c:v>4.8</c:v>
                </c:pt>
                <c:pt idx="7">
                  <c:v>579.5</c:v>
                </c:pt>
                <c:pt idx="8">
                  <c:v>442.9</c:v>
                </c:pt>
                <c:pt idx="9">
                  <c:v>52.1</c:v>
                </c:pt>
              </c:numCache>
            </c:numRef>
          </c:val>
        </c:ser>
        <c:dLbls>
          <c:showCatName val="1"/>
          <c:showPercent val="1"/>
        </c:dLbls>
      </c:pie3DChart>
    </c:plotArea>
    <c:plotVisOnly val="1"/>
    <c:dispBlanksAs val="zero"/>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958963282937391"/>
          <c:y val="4.2904290429043826E-2"/>
          <c:w val="0.78833693304535557"/>
          <c:h val="0.74587458745876911"/>
        </c:manualLayout>
      </c:layout>
      <c:lineChart>
        <c:grouping val="standard"/>
        <c:ser>
          <c:idx val="0"/>
          <c:order val="0"/>
          <c:tx>
            <c:strRef>
              <c:f>Sheet1!$B$1</c:f>
              <c:strCache>
                <c:ptCount val="1"/>
                <c:pt idx="0">
                  <c:v>Palestinian Territory</c:v>
                </c:pt>
              </c:strCache>
            </c:strRef>
          </c:tx>
          <c:marker>
            <c:symbol val="none"/>
          </c:marker>
          <c:dLbls>
            <c:dLbl>
              <c:idx val="0"/>
              <c:showVal val="1"/>
            </c:dLbl>
            <c:dLbl>
              <c:idx val="7"/>
              <c:layout>
                <c:manualLayout>
                  <c:x val="-5.9196617336155118E-2"/>
                  <c:y val="-4.2598509052183514E-2"/>
                </c:manualLayout>
              </c:layout>
              <c:showVal val="1"/>
            </c:dLbl>
            <c:delete val="1"/>
          </c:dLbls>
          <c:cat>
            <c:numRef>
              <c:f>Sheet1!$A$2:$A$9</c:f>
              <c:numCache>
                <c:formatCode>General</c:formatCode>
                <c:ptCount val="8"/>
                <c:pt idx="0">
                  <c:v>2004</c:v>
                </c:pt>
                <c:pt idx="1">
                  <c:v>2005</c:v>
                </c:pt>
                <c:pt idx="2">
                  <c:v>2006</c:v>
                </c:pt>
                <c:pt idx="3">
                  <c:v>2007</c:v>
                </c:pt>
                <c:pt idx="4">
                  <c:v>2008</c:v>
                </c:pt>
                <c:pt idx="5">
                  <c:v>2009</c:v>
                </c:pt>
                <c:pt idx="6">
                  <c:v>2010</c:v>
                </c:pt>
                <c:pt idx="7">
                  <c:v>2011</c:v>
                </c:pt>
              </c:numCache>
            </c:numRef>
          </c:cat>
          <c:val>
            <c:numRef>
              <c:f>Sheet1!$B$2:$B$9</c:f>
              <c:numCache>
                <c:formatCode>General</c:formatCode>
                <c:ptCount val="8"/>
                <c:pt idx="0">
                  <c:v>26.8</c:v>
                </c:pt>
                <c:pt idx="1">
                  <c:v>23.5</c:v>
                </c:pt>
                <c:pt idx="2">
                  <c:v>23.7</c:v>
                </c:pt>
                <c:pt idx="3">
                  <c:v>21.7</c:v>
                </c:pt>
                <c:pt idx="4">
                  <c:v>26.6</c:v>
                </c:pt>
                <c:pt idx="5">
                  <c:v>24.5</c:v>
                </c:pt>
                <c:pt idx="6">
                  <c:v>23.7</c:v>
                </c:pt>
                <c:pt idx="7">
                  <c:v>20.9</c:v>
                </c:pt>
              </c:numCache>
            </c:numRef>
          </c:val>
        </c:ser>
        <c:ser>
          <c:idx val="1"/>
          <c:order val="1"/>
          <c:tx>
            <c:strRef>
              <c:f>Sheet1!$C$1</c:f>
              <c:strCache>
                <c:ptCount val="1"/>
                <c:pt idx="0">
                  <c:v>West Bank</c:v>
                </c:pt>
              </c:strCache>
            </c:strRef>
          </c:tx>
          <c:spPr>
            <a:ln>
              <a:prstDash val="dashDot"/>
            </a:ln>
          </c:spPr>
          <c:marker>
            <c:symbol val="none"/>
          </c:marker>
          <c:dLbls>
            <c:dLbl>
              <c:idx val="0"/>
              <c:showVal val="1"/>
            </c:dLbl>
            <c:dLbl>
              <c:idx val="7"/>
              <c:layout>
                <c:manualLayout>
                  <c:x val="-6.2015503875968922E-2"/>
                  <c:y val="0"/>
                </c:manualLayout>
              </c:layout>
              <c:showVal val="1"/>
            </c:dLbl>
            <c:delete val="1"/>
          </c:dLbls>
          <c:cat>
            <c:numRef>
              <c:f>Sheet1!$A$2:$A$9</c:f>
              <c:numCache>
                <c:formatCode>General</c:formatCode>
                <c:ptCount val="8"/>
                <c:pt idx="0">
                  <c:v>2004</c:v>
                </c:pt>
                <c:pt idx="1">
                  <c:v>2005</c:v>
                </c:pt>
                <c:pt idx="2">
                  <c:v>2006</c:v>
                </c:pt>
                <c:pt idx="3">
                  <c:v>2007</c:v>
                </c:pt>
                <c:pt idx="4">
                  <c:v>2008</c:v>
                </c:pt>
                <c:pt idx="5">
                  <c:v>2009</c:v>
                </c:pt>
                <c:pt idx="6">
                  <c:v>2010</c:v>
                </c:pt>
                <c:pt idx="7">
                  <c:v>2011</c:v>
                </c:pt>
              </c:numCache>
            </c:numRef>
          </c:cat>
          <c:val>
            <c:numRef>
              <c:f>Sheet1!$C$2:$C$9</c:f>
              <c:numCache>
                <c:formatCode>General</c:formatCode>
                <c:ptCount val="8"/>
                <c:pt idx="0">
                  <c:v>22.8</c:v>
                </c:pt>
                <c:pt idx="1">
                  <c:v>20.399999999999999</c:v>
                </c:pt>
                <c:pt idx="2">
                  <c:v>18.8</c:v>
                </c:pt>
                <c:pt idx="3">
                  <c:v>17.899999999999999</c:v>
                </c:pt>
                <c:pt idx="4">
                  <c:v>19.7</c:v>
                </c:pt>
                <c:pt idx="5">
                  <c:v>17.8</c:v>
                </c:pt>
                <c:pt idx="6">
                  <c:v>17.2</c:v>
                </c:pt>
                <c:pt idx="7">
                  <c:v>17.3</c:v>
                </c:pt>
              </c:numCache>
            </c:numRef>
          </c:val>
        </c:ser>
        <c:ser>
          <c:idx val="2"/>
          <c:order val="2"/>
          <c:tx>
            <c:strRef>
              <c:f>Sheet1!$D$1</c:f>
              <c:strCache>
                <c:ptCount val="1"/>
                <c:pt idx="0">
                  <c:v>Gaza Strip</c:v>
                </c:pt>
              </c:strCache>
            </c:strRef>
          </c:tx>
          <c:spPr>
            <a:ln>
              <a:prstDash val="sysDot"/>
            </a:ln>
          </c:spPr>
          <c:marker>
            <c:symbol val="none"/>
          </c:marker>
          <c:dLbls>
            <c:dLbl>
              <c:idx val="0"/>
              <c:showVal val="1"/>
            </c:dLbl>
            <c:dLbl>
              <c:idx val="7"/>
              <c:layout>
                <c:manualLayout>
                  <c:x val="-4.792107117688503E-2"/>
                  <c:y val="-3.8338658146964855E-2"/>
                </c:manualLayout>
              </c:layout>
              <c:showVal val="1"/>
            </c:dLbl>
            <c:delete val="1"/>
          </c:dLbls>
          <c:cat>
            <c:numRef>
              <c:f>Sheet1!$A$2:$A$9</c:f>
              <c:numCache>
                <c:formatCode>General</c:formatCode>
                <c:ptCount val="8"/>
                <c:pt idx="0">
                  <c:v>2004</c:v>
                </c:pt>
                <c:pt idx="1">
                  <c:v>2005</c:v>
                </c:pt>
                <c:pt idx="2">
                  <c:v>2006</c:v>
                </c:pt>
                <c:pt idx="3">
                  <c:v>2007</c:v>
                </c:pt>
                <c:pt idx="4">
                  <c:v>2008</c:v>
                </c:pt>
                <c:pt idx="5">
                  <c:v>2009</c:v>
                </c:pt>
                <c:pt idx="6">
                  <c:v>2010</c:v>
                </c:pt>
                <c:pt idx="7">
                  <c:v>2011</c:v>
                </c:pt>
              </c:numCache>
            </c:numRef>
          </c:cat>
          <c:val>
            <c:numRef>
              <c:f>Sheet1!$D$2:$D$9</c:f>
              <c:numCache>
                <c:formatCode>General</c:formatCode>
                <c:ptCount val="8"/>
                <c:pt idx="0">
                  <c:v>35.300000000000004</c:v>
                </c:pt>
                <c:pt idx="1">
                  <c:v>30.3</c:v>
                </c:pt>
                <c:pt idx="2">
                  <c:v>34.800000000000004</c:v>
                </c:pt>
                <c:pt idx="3">
                  <c:v>29.7</c:v>
                </c:pt>
                <c:pt idx="4">
                  <c:v>40.6</c:v>
                </c:pt>
                <c:pt idx="5">
                  <c:v>38.6</c:v>
                </c:pt>
                <c:pt idx="6">
                  <c:v>37.800000000000004</c:v>
                </c:pt>
                <c:pt idx="7">
                  <c:v>28.7</c:v>
                </c:pt>
              </c:numCache>
            </c:numRef>
          </c:val>
        </c:ser>
        <c:marker val="1"/>
        <c:axId val="87486464"/>
        <c:axId val="87489152"/>
      </c:lineChart>
      <c:catAx>
        <c:axId val="87486464"/>
        <c:scaling>
          <c:orientation val="minMax"/>
        </c:scaling>
        <c:axPos val="b"/>
        <c:majorGridlines/>
        <c:title>
          <c:tx>
            <c:rich>
              <a:bodyPr/>
              <a:lstStyle/>
              <a:p>
                <a:pPr>
                  <a:defRPr/>
                </a:pPr>
                <a:r>
                  <a:rPr lang="en-US"/>
                  <a:t>Year</a:t>
                </a:r>
              </a:p>
            </c:rich>
          </c:tx>
          <c:layout>
            <c:manualLayout>
              <c:xMode val="edge"/>
              <c:yMode val="edge"/>
              <c:x val="0.43412526997842216"/>
              <c:y val="0.85478547854788733"/>
            </c:manualLayout>
          </c:layout>
        </c:title>
        <c:numFmt formatCode="General" sourceLinked="1"/>
        <c:tickLblPos val="nextTo"/>
        <c:txPr>
          <a:bodyPr rot="0" vert="horz"/>
          <a:lstStyle/>
          <a:p>
            <a:pPr>
              <a:defRPr/>
            </a:pPr>
            <a:endParaRPr lang="ar-SA"/>
          </a:p>
        </c:txPr>
        <c:crossAx val="87489152"/>
        <c:crosses val="autoZero"/>
        <c:auto val="1"/>
        <c:lblAlgn val="ctr"/>
        <c:lblOffset val="100"/>
        <c:tickLblSkip val="1"/>
        <c:tickMarkSkip val="1"/>
      </c:catAx>
      <c:valAx>
        <c:axId val="87489152"/>
        <c:scaling>
          <c:orientation val="minMax"/>
        </c:scaling>
        <c:axPos val="l"/>
        <c:majorGridlines/>
        <c:title>
          <c:tx>
            <c:rich>
              <a:bodyPr/>
              <a:lstStyle/>
              <a:p>
                <a:pPr>
                  <a:defRPr/>
                </a:pPr>
                <a:r>
                  <a:rPr lang="en-US"/>
                  <a:t>Unemployment rate</a:t>
                </a:r>
              </a:p>
            </c:rich>
          </c:tx>
          <c:layout>
            <c:manualLayout>
              <c:xMode val="edge"/>
              <c:yMode val="edge"/>
              <c:x val="3.0237580993520606E-2"/>
              <c:y val="0.2178217821782179"/>
            </c:manualLayout>
          </c:layout>
        </c:title>
        <c:numFmt formatCode="General" sourceLinked="1"/>
        <c:tickLblPos val="nextTo"/>
        <c:txPr>
          <a:bodyPr rot="0" vert="horz"/>
          <a:lstStyle/>
          <a:p>
            <a:pPr>
              <a:defRPr/>
            </a:pPr>
            <a:endParaRPr lang="ar-SA"/>
          </a:p>
        </c:txPr>
        <c:crossAx val="87486464"/>
        <c:crosses val="autoZero"/>
        <c:crossBetween val="between"/>
      </c:valAx>
    </c:plotArea>
    <c:legend>
      <c:legendPos val="b"/>
      <c:layout>
        <c:manualLayout>
          <c:xMode val="edge"/>
          <c:yMode val="edge"/>
          <c:x val="0.10367170626350411"/>
          <c:y val="0.92409240924092406"/>
          <c:w val="0.73002159827213864"/>
          <c:h val="7.2607260726072639E-2"/>
        </c:manualLayout>
      </c:layout>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1166306695464362"/>
          <c:y val="5.1378446115288232E-2"/>
          <c:w val="0.71628096592310098"/>
          <c:h val="0.57268170426065168"/>
        </c:manualLayout>
      </c:layout>
      <c:lineChart>
        <c:grouping val="standard"/>
        <c:ser>
          <c:idx val="0"/>
          <c:order val="0"/>
          <c:tx>
            <c:strRef>
              <c:f>Sheet3!$D$4</c:f>
              <c:strCache>
                <c:ptCount val="1"/>
                <c:pt idx="0">
                  <c:v>nominal wages</c:v>
                </c:pt>
              </c:strCache>
            </c:strRef>
          </c:tx>
          <c:marker>
            <c:symbol val="none"/>
          </c:marker>
          <c:dLbls>
            <c:dLbl>
              <c:idx val="7"/>
              <c:layout>
                <c:manualLayout>
                  <c:x val="-4.4884488448844934E-2"/>
                  <c:y val="6.4814814814818336E-2"/>
                </c:manualLayout>
              </c:layout>
              <c:showVal val="1"/>
            </c:dLbl>
            <c:delete val="1"/>
          </c:dLbls>
          <c:cat>
            <c:numRef>
              <c:f>Sheet3!$C$5:$C$12</c:f>
              <c:numCache>
                <c:formatCode>General</c:formatCode>
                <c:ptCount val="8"/>
                <c:pt idx="0">
                  <c:v>2004</c:v>
                </c:pt>
                <c:pt idx="1">
                  <c:v>2005</c:v>
                </c:pt>
                <c:pt idx="2">
                  <c:v>2006</c:v>
                </c:pt>
                <c:pt idx="3">
                  <c:v>2007</c:v>
                </c:pt>
                <c:pt idx="4">
                  <c:v>2008</c:v>
                </c:pt>
                <c:pt idx="5">
                  <c:v>2009</c:v>
                </c:pt>
                <c:pt idx="6">
                  <c:v>2010</c:v>
                </c:pt>
                <c:pt idx="7">
                  <c:v>2011</c:v>
                </c:pt>
              </c:numCache>
            </c:numRef>
          </c:cat>
          <c:val>
            <c:numRef>
              <c:f>Sheet3!$D$5:$D$12</c:f>
              <c:numCache>
                <c:formatCode>0.0</c:formatCode>
                <c:ptCount val="8"/>
                <c:pt idx="0">
                  <c:v>73.8</c:v>
                </c:pt>
                <c:pt idx="1">
                  <c:v>77</c:v>
                </c:pt>
                <c:pt idx="2">
                  <c:v>81.5</c:v>
                </c:pt>
                <c:pt idx="3">
                  <c:v>81.900000000000006</c:v>
                </c:pt>
                <c:pt idx="4">
                  <c:v>87</c:v>
                </c:pt>
                <c:pt idx="5">
                  <c:v>91.3</c:v>
                </c:pt>
                <c:pt idx="6">
                  <c:v>91.7</c:v>
                </c:pt>
                <c:pt idx="7">
                  <c:v>91.7</c:v>
                </c:pt>
              </c:numCache>
            </c:numRef>
          </c:val>
        </c:ser>
        <c:ser>
          <c:idx val="1"/>
          <c:order val="1"/>
          <c:tx>
            <c:strRef>
              <c:f>Sheet3!$E$4</c:f>
              <c:strCache>
                <c:ptCount val="1"/>
                <c:pt idx="0">
                  <c:v>real wages</c:v>
                </c:pt>
              </c:strCache>
            </c:strRef>
          </c:tx>
          <c:spPr>
            <a:ln>
              <a:prstDash val="sysDot"/>
            </a:ln>
          </c:spPr>
          <c:marker>
            <c:symbol val="none"/>
          </c:marker>
          <c:dLbls>
            <c:dLbl>
              <c:idx val="0"/>
              <c:showVal val="1"/>
            </c:dLbl>
            <c:dLbl>
              <c:idx val="7"/>
              <c:layout>
                <c:manualLayout>
                  <c:x val="-5.0165016501650166E-2"/>
                  <c:y val="5.5555555555555455E-2"/>
                </c:manualLayout>
              </c:layout>
              <c:showVal val="1"/>
            </c:dLbl>
            <c:delete val="1"/>
          </c:dLbls>
          <c:cat>
            <c:numRef>
              <c:f>Sheet3!$C$5:$C$12</c:f>
              <c:numCache>
                <c:formatCode>General</c:formatCode>
                <c:ptCount val="8"/>
                <c:pt idx="0">
                  <c:v>2004</c:v>
                </c:pt>
                <c:pt idx="1">
                  <c:v>2005</c:v>
                </c:pt>
                <c:pt idx="2">
                  <c:v>2006</c:v>
                </c:pt>
                <c:pt idx="3">
                  <c:v>2007</c:v>
                </c:pt>
                <c:pt idx="4">
                  <c:v>2008</c:v>
                </c:pt>
                <c:pt idx="5">
                  <c:v>2009</c:v>
                </c:pt>
                <c:pt idx="6">
                  <c:v>2010</c:v>
                </c:pt>
                <c:pt idx="7">
                  <c:v>2011</c:v>
                </c:pt>
              </c:numCache>
            </c:numRef>
          </c:cat>
          <c:val>
            <c:numRef>
              <c:f>Sheet3!$E$5:$E$12</c:f>
              <c:numCache>
                <c:formatCode>0.0</c:formatCode>
                <c:ptCount val="8"/>
                <c:pt idx="0">
                  <c:v>73.8</c:v>
                </c:pt>
                <c:pt idx="1">
                  <c:v>73.960234367495914</c:v>
                </c:pt>
                <c:pt idx="2">
                  <c:v>75.386180741837023</c:v>
                </c:pt>
                <c:pt idx="3">
                  <c:v>74.373410824550618</c:v>
                </c:pt>
                <c:pt idx="4">
                  <c:v>71.894884720271065</c:v>
                </c:pt>
                <c:pt idx="5">
                  <c:v>73.427698246742807</c:v>
                </c:pt>
                <c:pt idx="6">
                  <c:v>71.085271317824891</c:v>
                </c:pt>
                <c:pt idx="7">
                  <c:v>69.099999999999994</c:v>
                </c:pt>
              </c:numCache>
            </c:numRef>
          </c:val>
        </c:ser>
        <c:marker val="1"/>
        <c:axId val="97793536"/>
        <c:axId val="86679552"/>
      </c:lineChart>
      <c:catAx>
        <c:axId val="97793536"/>
        <c:scaling>
          <c:orientation val="minMax"/>
        </c:scaling>
        <c:axPos val="b"/>
        <c:majorGridlines/>
        <c:title>
          <c:tx>
            <c:rich>
              <a:bodyPr/>
              <a:lstStyle/>
              <a:p>
                <a:pPr>
                  <a:defRPr/>
                </a:pPr>
                <a:r>
                  <a:rPr lang="en-US"/>
                  <a:t>Year</a:t>
                </a:r>
              </a:p>
            </c:rich>
          </c:tx>
          <c:layout>
            <c:manualLayout>
              <c:xMode val="edge"/>
              <c:yMode val="edge"/>
              <c:x val="0.49502868508870856"/>
              <c:y val="0.78320802005012535"/>
            </c:manualLayout>
          </c:layout>
        </c:title>
        <c:numFmt formatCode="General" sourceLinked="1"/>
        <c:tickLblPos val="nextTo"/>
        <c:txPr>
          <a:bodyPr rot="0" vert="horz"/>
          <a:lstStyle/>
          <a:p>
            <a:pPr>
              <a:defRPr/>
            </a:pPr>
            <a:endParaRPr lang="ar-SA"/>
          </a:p>
        </c:txPr>
        <c:crossAx val="86679552"/>
        <c:crosses val="autoZero"/>
        <c:auto val="1"/>
        <c:lblAlgn val="ctr"/>
        <c:lblOffset val="100"/>
        <c:tickLblSkip val="1"/>
        <c:tickMarkSkip val="1"/>
      </c:catAx>
      <c:valAx>
        <c:axId val="86679552"/>
        <c:scaling>
          <c:orientation val="minMax"/>
          <c:max val="100"/>
          <c:min val="50"/>
        </c:scaling>
        <c:axPos val="l"/>
        <c:majorGridlines/>
        <c:title>
          <c:tx>
            <c:rich>
              <a:bodyPr/>
              <a:lstStyle/>
              <a:p>
                <a:pPr>
                  <a:defRPr/>
                </a:pPr>
                <a:r>
                  <a:rPr lang="en-US"/>
                  <a:t>Avarge daily wages</a:t>
                </a:r>
              </a:p>
            </c:rich>
          </c:tx>
          <c:layout>
            <c:manualLayout>
              <c:xMode val="edge"/>
              <c:yMode val="edge"/>
              <c:x val="8.7583976063442204E-2"/>
              <c:y val="0.15351020223157896"/>
            </c:manualLayout>
          </c:layout>
        </c:title>
        <c:numFmt formatCode="0" sourceLinked="0"/>
        <c:tickLblPos val="nextTo"/>
        <c:txPr>
          <a:bodyPr rot="0" vert="horz"/>
          <a:lstStyle/>
          <a:p>
            <a:pPr>
              <a:defRPr/>
            </a:pPr>
            <a:endParaRPr lang="ar-SA"/>
          </a:p>
        </c:txPr>
        <c:crossAx val="97793536"/>
        <c:crosses val="autoZero"/>
        <c:crossBetween val="between"/>
        <c:majorUnit val="10"/>
      </c:valAx>
    </c:plotArea>
    <c:legend>
      <c:legendPos val="b"/>
      <c:layout>
        <c:manualLayout>
          <c:xMode val="edge"/>
          <c:yMode val="edge"/>
          <c:x val="0.21212121212121221"/>
          <c:y val="0.88129496402877694"/>
          <c:w val="0.62828282828282833"/>
          <c:h val="0.10071942446043169"/>
        </c:manualLayout>
      </c:layout>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756007393715342"/>
          <c:y val="0.12903225806451613"/>
          <c:w val="0.80591497227360065"/>
          <c:h val="0.63929618768329965"/>
        </c:manualLayout>
      </c:layout>
      <c:lineChart>
        <c:grouping val="standard"/>
        <c:ser>
          <c:idx val="0"/>
          <c:order val="0"/>
          <c:tx>
            <c:strRef>
              <c:f>Sheet3!$C$32</c:f>
              <c:strCache>
                <c:ptCount val="1"/>
                <c:pt idx="0">
                  <c:v>الانتاجية</c:v>
                </c:pt>
              </c:strCache>
            </c:strRef>
          </c:tx>
          <c:marker>
            <c:symbol val="none"/>
          </c:marker>
          <c:dLbls>
            <c:dLbl>
              <c:idx val="0"/>
              <c:layout>
                <c:manualLayout>
                  <c:x val="-4.6276211135213512E-2"/>
                  <c:y val="-7.1877807726864335E-2"/>
                </c:manualLayout>
              </c:layout>
              <c:showVal val="1"/>
            </c:dLbl>
            <c:dLbl>
              <c:idx val="7"/>
              <c:layout>
                <c:manualLayout>
                  <c:x val="-3.759942154736081E-2"/>
                  <c:y val="-5.3908355795148251E-2"/>
                </c:manualLayout>
              </c:layout>
              <c:showVal val="1"/>
            </c:dLbl>
            <c:delete val="1"/>
          </c:dLbls>
          <c:cat>
            <c:numRef>
              <c:f>Sheet3!$B$33:$B$40</c:f>
              <c:numCache>
                <c:formatCode>General</c:formatCode>
                <c:ptCount val="8"/>
                <c:pt idx="0">
                  <c:v>2004</c:v>
                </c:pt>
                <c:pt idx="1">
                  <c:v>2005</c:v>
                </c:pt>
                <c:pt idx="2">
                  <c:v>2006</c:v>
                </c:pt>
                <c:pt idx="3">
                  <c:v>2007</c:v>
                </c:pt>
                <c:pt idx="4">
                  <c:v>2008</c:v>
                </c:pt>
                <c:pt idx="5">
                  <c:v>2009</c:v>
                </c:pt>
                <c:pt idx="6">
                  <c:v>2010</c:v>
                </c:pt>
                <c:pt idx="7">
                  <c:v>2011</c:v>
                </c:pt>
              </c:numCache>
            </c:numRef>
          </c:cat>
          <c:val>
            <c:numRef>
              <c:f>Sheet3!$C$33:$C$40</c:f>
              <c:numCache>
                <c:formatCode>#,##0.0</c:formatCode>
                <c:ptCount val="8"/>
                <c:pt idx="0">
                  <c:v>8293.1</c:v>
                </c:pt>
                <c:pt idx="1">
                  <c:v>8332.2999999999811</c:v>
                </c:pt>
                <c:pt idx="2">
                  <c:v>7437.3</c:v>
                </c:pt>
                <c:pt idx="3">
                  <c:v>7239.9</c:v>
                </c:pt>
                <c:pt idx="4">
                  <c:v>8560.7999999999811</c:v>
                </c:pt>
                <c:pt idx="5">
                  <c:v>8519.2000000000007</c:v>
                </c:pt>
                <c:pt idx="6">
                  <c:v>8925.4</c:v>
                </c:pt>
                <c:pt idx="7">
                  <c:v>8578.6</c:v>
                </c:pt>
              </c:numCache>
            </c:numRef>
          </c:val>
        </c:ser>
        <c:marker val="1"/>
        <c:axId val="87797760"/>
        <c:axId val="87799680"/>
      </c:lineChart>
      <c:catAx>
        <c:axId val="87797760"/>
        <c:scaling>
          <c:orientation val="minMax"/>
        </c:scaling>
        <c:axPos val="b"/>
        <c:majorGridlines/>
        <c:title>
          <c:tx>
            <c:rich>
              <a:bodyPr/>
              <a:lstStyle/>
              <a:p>
                <a:pPr>
                  <a:defRPr/>
                </a:pPr>
                <a:r>
                  <a:rPr lang="en-US"/>
                  <a:t>Year</a:t>
                </a:r>
              </a:p>
            </c:rich>
          </c:tx>
          <c:layout>
            <c:manualLayout>
              <c:xMode val="edge"/>
              <c:yMode val="edge"/>
              <c:x val="0.48188415241198296"/>
              <c:y val="0.8511449922263149"/>
            </c:manualLayout>
          </c:layout>
        </c:title>
        <c:numFmt formatCode="General" sourceLinked="1"/>
        <c:tickLblPos val="nextTo"/>
        <c:txPr>
          <a:bodyPr rot="0" vert="horz"/>
          <a:lstStyle/>
          <a:p>
            <a:pPr>
              <a:defRPr/>
            </a:pPr>
            <a:endParaRPr lang="ar-SA"/>
          </a:p>
        </c:txPr>
        <c:crossAx val="87799680"/>
        <c:crosses val="autoZero"/>
        <c:auto val="1"/>
        <c:lblAlgn val="ctr"/>
        <c:lblOffset val="100"/>
        <c:tickLblSkip val="1"/>
        <c:tickMarkSkip val="1"/>
      </c:catAx>
      <c:valAx>
        <c:axId val="87799680"/>
        <c:scaling>
          <c:orientation val="minMax"/>
          <c:max val="10000"/>
          <c:min val="5000"/>
        </c:scaling>
        <c:axPos val="l"/>
        <c:majorGridlines/>
        <c:title>
          <c:tx>
            <c:rich>
              <a:bodyPr/>
              <a:lstStyle/>
              <a:p>
                <a:pPr>
                  <a:defRPr/>
                </a:pPr>
                <a:r>
                  <a:rPr lang="en-US"/>
                  <a:t>Productivity rate </a:t>
                </a:r>
              </a:p>
            </c:rich>
          </c:tx>
          <c:layout>
            <c:manualLayout>
              <c:xMode val="edge"/>
              <c:yMode val="edge"/>
              <c:x val="4.2513863216266184E-2"/>
              <c:y val="0.29618768328448547"/>
            </c:manualLayout>
          </c:layout>
        </c:title>
        <c:numFmt formatCode="#,##0" sourceLinked="0"/>
        <c:tickLblPos val="nextTo"/>
        <c:txPr>
          <a:bodyPr rot="0" vert="horz"/>
          <a:lstStyle/>
          <a:p>
            <a:pPr>
              <a:defRPr/>
            </a:pPr>
            <a:endParaRPr lang="ar-SA"/>
          </a:p>
        </c:txPr>
        <c:crossAx val="87797760"/>
        <c:crosses val="autoZero"/>
        <c:crossBetween val="between"/>
        <c:minorUnit val="1000"/>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pie3DChart>
        <c:varyColors val="1"/>
        <c:ser>
          <c:idx val="0"/>
          <c:order val="0"/>
          <c:tx>
            <c:strRef>
              <c:f>Sheet1!$G$15</c:f>
              <c:strCache>
                <c:ptCount val="1"/>
                <c:pt idx="0">
                  <c:v>172,900</c:v>
                </c:pt>
              </c:strCache>
            </c:strRef>
          </c:tx>
          <c:dLbls>
            <c:dLbl>
              <c:idx val="0"/>
              <c:layout>
                <c:manualLayout>
                  <c:x val="-0.13919569167043891"/>
                  <c:y val="-0.12416838365445768"/>
                </c:manualLayout>
              </c:layout>
              <c:showCatName val="1"/>
              <c:showPercent val="1"/>
            </c:dLbl>
            <c:dLbl>
              <c:idx val="1"/>
              <c:layout>
                <c:manualLayout>
                  <c:x val="-3.0020947696995412E-2"/>
                  <c:y val="-0.20215223097112894"/>
                </c:manualLayout>
              </c:layout>
              <c:showCatName val="1"/>
              <c:showPercent val="1"/>
            </c:dLbl>
            <c:dLbl>
              <c:idx val="2"/>
              <c:layout>
                <c:manualLayout>
                  <c:x val="-5.2986247381537913E-2"/>
                  <c:y val="0.15957324778847609"/>
                </c:manualLayout>
              </c:layout>
              <c:showCatName val="1"/>
              <c:showPercent val="1"/>
            </c:dLbl>
            <c:dLbl>
              <c:idx val="3"/>
              <c:layout>
                <c:manualLayout>
                  <c:x val="0.30130273148033182"/>
                  <c:y val="8.8028093710508543E-2"/>
                </c:manualLayout>
              </c:layout>
              <c:showCatName val="1"/>
              <c:showPercent val="1"/>
            </c:dLbl>
            <c:dLbl>
              <c:idx val="4"/>
              <c:layout>
                <c:manualLayout>
                  <c:x val="1.9958104606009566E-2"/>
                  <c:y val="0.17212258189948479"/>
                </c:manualLayout>
              </c:layout>
              <c:showCatName val="1"/>
              <c:showPercent val="1"/>
            </c:dLbl>
            <c:dLbl>
              <c:idx val="5"/>
              <c:layout>
                <c:manualLayout>
                  <c:x val="2.3699876632140232E-3"/>
                  <c:y val="-0.14811752697579469"/>
                </c:manualLayout>
              </c:layout>
              <c:showCatName val="1"/>
              <c:showPercent val="1"/>
            </c:dLbl>
            <c:numFmt formatCode="0%" sourceLinked="0"/>
            <c:txPr>
              <a:bodyPr/>
              <a:lstStyle/>
              <a:p>
                <a:pPr>
                  <a:defRPr sz="700">
                    <a:cs typeface="+mn-cs"/>
                  </a:defRPr>
                </a:pPr>
                <a:endParaRPr lang="ar-SA"/>
              </a:p>
            </c:txPr>
            <c:showCatName val="1"/>
            <c:showPercent val="1"/>
            <c:showLeaderLines val="1"/>
          </c:dLbls>
          <c:cat>
            <c:strRef>
              <c:f>Sheet1!$H$10:$H$15</c:f>
              <c:strCache>
                <c:ptCount val="6"/>
                <c:pt idx="0">
                  <c:v>Agriculture </c:v>
                </c:pt>
                <c:pt idx="1">
                  <c:v>Manufacturing</c:v>
                </c:pt>
                <c:pt idx="2">
                  <c:v>Construction </c:v>
                </c:pt>
                <c:pt idx="3">
                  <c:v>Commerce and hotels</c:v>
                </c:pt>
                <c:pt idx="4">
                  <c:v>Transport and communication </c:v>
                </c:pt>
                <c:pt idx="5">
                  <c:v>Services </c:v>
                </c:pt>
              </c:strCache>
            </c:strRef>
          </c:cat>
          <c:val>
            <c:numRef>
              <c:f>Sheet1!$G$10:$G$15</c:f>
              <c:numCache>
                <c:formatCode>#,##0</c:formatCode>
                <c:ptCount val="6"/>
                <c:pt idx="0">
                  <c:v>76000</c:v>
                </c:pt>
                <c:pt idx="1">
                  <c:v>85200</c:v>
                </c:pt>
                <c:pt idx="2">
                  <c:v>101700</c:v>
                </c:pt>
                <c:pt idx="3">
                  <c:v>125200</c:v>
                </c:pt>
                <c:pt idx="4">
                  <c:v>32800</c:v>
                </c:pt>
                <c:pt idx="5">
                  <c:v>172900</c:v>
                </c:pt>
              </c:numCache>
            </c:numRef>
          </c:val>
        </c:ser>
        <c:dLbls>
          <c:showCatName val="1"/>
          <c:showPercent val="1"/>
        </c:dLbls>
      </c:pie3DChart>
    </c:plotArea>
    <c:plotVisOnly val="1"/>
    <c:dispBlanksAs val="zero"/>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0224697522566126"/>
          <c:y val="0.12886497785061932"/>
          <c:w val="0.83525311368599264"/>
          <c:h val="0.77846913932138573"/>
        </c:manualLayout>
      </c:layout>
      <c:pie3DChart>
        <c:varyColors val="1"/>
        <c:ser>
          <c:idx val="0"/>
          <c:order val="0"/>
          <c:dLbls>
            <c:dLbl>
              <c:idx val="0"/>
              <c:layout>
                <c:manualLayout>
                  <c:x val="-0.20139531959702825"/>
                  <c:y val="-5.9356143076552716E-2"/>
                </c:manualLayout>
              </c:layout>
              <c:showCatName val="1"/>
              <c:showPercent val="1"/>
            </c:dLbl>
            <c:dLbl>
              <c:idx val="1"/>
              <c:layout>
                <c:manualLayout>
                  <c:x val="-0.1405803253800112"/>
                  <c:y val="-0.18663562949756921"/>
                </c:manualLayout>
              </c:layout>
              <c:tx>
                <c:rich>
                  <a:bodyPr/>
                  <a:lstStyle/>
                  <a:p>
                    <a:r>
                      <a:rPr lang="en-US" sz="700">
                        <a:cs typeface="+mn-cs"/>
                      </a:rPr>
                      <a:t>M</a:t>
                    </a:r>
                    <a:r>
                      <a:rPr lang="en-US"/>
                      <a:t>anufacturing
5%</a:t>
                    </a:r>
                  </a:p>
                </c:rich>
              </c:tx>
              <c:showCatName val="1"/>
              <c:showPercent val="1"/>
            </c:dLbl>
            <c:dLbl>
              <c:idx val="2"/>
              <c:layout>
                <c:manualLayout>
                  <c:x val="-2.2999669951435709E-3"/>
                  <c:y val="-7.5807885786060278E-2"/>
                </c:manualLayout>
              </c:layout>
              <c:showCatName val="1"/>
              <c:showPercent val="1"/>
            </c:dLbl>
            <c:dLbl>
              <c:idx val="3"/>
              <c:layout>
                <c:manualLayout>
                  <c:x val="-0.10548004263636628"/>
                  <c:y val="0.17578594479931994"/>
                </c:manualLayout>
              </c:layout>
              <c:showCatName val="1"/>
              <c:showPercent val="1"/>
            </c:dLbl>
            <c:dLbl>
              <c:idx val="4"/>
              <c:layout>
                <c:manualLayout>
                  <c:x val="-0.26068587234979101"/>
                  <c:y val="8.5972247760820145E-2"/>
                </c:manualLayout>
              </c:layout>
              <c:tx>
                <c:rich>
                  <a:bodyPr/>
                  <a:lstStyle/>
                  <a:p>
                    <a:r>
                      <a:rPr lang="en-US"/>
                      <a:t>Transport and communicatio-n 
8%</a:t>
                    </a:r>
                  </a:p>
                </c:rich>
              </c:tx>
              <c:showCatName val="1"/>
              <c:showPercent val="1"/>
            </c:dLbl>
            <c:dLbl>
              <c:idx val="5"/>
              <c:layout>
                <c:manualLayout>
                  <c:x val="7.4574824488402372E-2"/>
                  <c:y val="0.24952862792603425"/>
                </c:manualLayout>
              </c:layout>
              <c:showCatName val="1"/>
              <c:showPercent val="1"/>
            </c:dLbl>
            <c:numFmt formatCode="0%" sourceLinked="0"/>
            <c:txPr>
              <a:bodyPr/>
              <a:lstStyle/>
              <a:p>
                <a:pPr>
                  <a:defRPr sz="700">
                    <a:cs typeface="+mn-cs"/>
                  </a:defRPr>
                </a:pPr>
                <a:endParaRPr lang="ar-SA"/>
              </a:p>
            </c:txPr>
            <c:showCatName val="1"/>
            <c:showPercent val="1"/>
            <c:showLeaderLines val="1"/>
          </c:dLbls>
          <c:cat>
            <c:strRef>
              <c:f>Sheet1!$H$19:$H$24</c:f>
              <c:strCache>
                <c:ptCount val="6"/>
                <c:pt idx="0">
                  <c:v>Agriculture </c:v>
                </c:pt>
                <c:pt idx="1">
                  <c:v>Manufacturing</c:v>
                </c:pt>
                <c:pt idx="2">
                  <c:v>Construction </c:v>
                </c:pt>
                <c:pt idx="3">
                  <c:v>Commerce and hotels</c:v>
                </c:pt>
                <c:pt idx="4">
                  <c:v>Transport and communication </c:v>
                </c:pt>
                <c:pt idx="5">
                  <c:v>Services </c:v>
                </c:pt>
              </c:strCache>
            </c:strRef>
          </c:cat>
          <c:val>
            <c:numRef>
              <c:f>Sheet1!$G$19:$G$24</c:f>
              <c:numCache>
                <c:formatCode>#,##0</c:formatCode>
                <c:ptCount val="6"/>
                <c:pt idx="0">
                  <c:v>23400</c:v>
                </c:pt>
                <c:pt idx="1">
                  <c:v>13500</c:v>
                </c:pt>
                <c:pt idx="2">
                  <c:v>14500</c:v>
                </c:pt>
                <c:pt idx="3">
                  <c:v>44900</c:v>
                </c:pt>
                <c:pt idx="4">
                  <c:v>18400</c:v>
                </c:pt>
                <c:pt idx="5">
                  <c:v>128900</c:v>
                </c:pt>
              </c:numCache>
            </c:numRef>
          </c:val>
        </c:ser>
        <c:dLbls>
          <c:showCatName val="1"/>
          <c:showPercent val="1"/>
        </c:dLbls>
      </c:pie3DChart>
    </c:plotArea>
    <c:plotVisOnly val="1"/>
    <c:dispBlanksAs val="zero"/>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026F7-1219-4A38-8EC6-363B54B69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25</Pages>
  <Words>6087</Words>
  <Characters>34701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sabeq</dc:creator>
  <cp:keywords/>
  <dc:description/>
  <cp:lastModifiedBy>mqlalwah</cp:lastModifiedBy>
  <cp:revision>34</cp:revision>
  <cp:lastPrinted>2012-05-14T09:19:00Z</cp:lastPrinted>
  <dcterms:created xsi:type="dcterms:W3CDTF">2012-05-14T08:10:00Z</dcterms:created>
  <dcterms:modified xsi:type="dcterms:W3CDTF">2012-05-14T09:53:00Z</dcterms:modified>
</cp:coreProperties>
</file>